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1CEA9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bookmarkStart w:id="0" w:name="_GoBack"/>
      <w:bookmarkEnd w:id="0"/>
    </w:p>
    <w:p w14:paraId="4821E869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57DDD4C4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4305E0">
        <w:rPr>
          <w:rFonts w:eastAsia="Times New Roman" w:cs="Arial"/>
          <w:b/>
          <w:sz w:val="32"/>
          <w:szCs w:val="32"/>
          <w:lang w:val="ro-RO"/>
        </w:rPr>
        <w:t>EVALUAREA TEMATICĂ A</w:t>
      </w:r>
    </w:p>
    <w:p w14:paraId="74384E1F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4305E0">
        <w:rPr>
          <w:rFonts w:eastAsia="Times New Roman" w:cs="Arial"/>
          <w:b/>
          <w:sz w:val="32"/>
          <w:szCs w:val="32"/>
          <w:lang w:val="ro-RO"/>
        </w:rPr>
        <w:t>REGIEI NAȚIONALE A PĂDURILOR-ROMSILVA</w:t>
      </w:r>
    </w:p>
    <w:p w14:paraId="2F1A032F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4305E0">
        <w:rPr>
          <w:rFonts w:eastAsia="Times New Roman" w:cs="Arial"/>
          <w:b/>
          <w:sz w:val="32"/>
          <w:szCs w:val="32"/>
          <w:lang w:val="ro-RO"/>
        </w:rPr>
        <w:t>PRIVIND IMPLEMENTAREA</w:t>
      </w:r>
    </w:p>
    <w:p w14:paraId="13F8E8BC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4305E0">
        <w:rPr>
          <w:rFonts w:eastAsia="Times New Roman" w:cs="Arial"/>
          <w:b/>
          <w:sz w:val="32"/>
          <w:szCs w:val="32"/>
          <w:lang w:val="ro-RO"/>
        </w:rPr>
        <w:t>STRATEGIEI NAȚIONALE ANTICORUPȚIE 2021 – 2025</w:t>
      </w:r>
    </w:p>
    <w:p w14:paraId="4F0532C9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157A3598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0C66C344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5D5DC046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70A61C96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  <w:r w:rsidRPr="004305E0">
        <w:rPr>
          <w:rFonts w:eastAsia="Times New Roman" w:cs="Arial"/>
          <w:b/>
          <w:sz w:val="32"/>
          <w:szCs w:val="32"/>
          <w:lang w:val="ro-RO"/>
        </w:rPr>
        <w:t>Raport de evaluare</w:t>
      </w:r>
    </w:p>
    <w:p w14:paraId="2FA39A8F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326D215D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1FA5B638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334C361F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0DC50A72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5B2E8051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21FD9984" w14:textId="77777777" w:rsidR="004305E0" w:rsidRPr="004305E0" w:rsidRDefault="004305E0" w:rsidP="004305E0">
      <w:pPr>
        <w:ind w:left="0"/>
        <w:jc w:val="center"/>
        <w:rPr>
          <w:rFonts w:eastAsia="Times New Roman" w:cs="Arial"/>
          <w:b/>
          <w:sz w:val="32"/>
          <w:szCs w:val="32"/>
          <w:lang w:val="ro-RO"/>
        </w:rPr>
      </w:pPr>
    </w:p>
    <w:p w14:paraId="18F71A9F" w14:textId="35A54D24" w:rsidR="004305E0" w:rsidRPr="004305E0" w:rsidRDefault="00BC4A94" w:rsidP="00BC4A94">
      <w:pPr>
        <w:ind w:left="0"/>
        <w:rPr>
          <w:rFonts w:eastAsia="Times New Roman" w:cs="Arial"/>
          <w:b/>
          <w:sz w:val="32"/>
          <w:szCs w:val="32"/>
          <w:lang w:val="ro-RO"/>
        </w:rPr>
      </w:pPr>
      <w:r>
        <w:rPr>
          <w:rFonts w:eastAsia="Times New Roman" w:cs="Arial"/>
          <w:b/>
          <w:sz w:val="32"/>
          <w:szCs w:val="32"/>
          <w:lang w:val="ro-RO"/>
        </w:rPr>
        <w:t xml:space="preserve">                                       </w:t>
      </w:r>
      <w:r w:rsidR="004305E0" w:rsidRPr="004305E0">
        <w:rPr>
          <w:rFonts w:eastAsia="Times New Roman" w:cs="Arial"/>
          <w:b/>
          <w:sz w:val="32"/>
          <w:szCs w:val="32"/>
          <w:lang w:val="ro-RO"/>
        </w:rPr>
        <w:t>202</w:t>
      </w:r>
      <w:r w:rsidR="00F22E55">
        <w:rPr>
          <w:rFonts w:eastAsia="Times New Roman" w:cs="Arial"/>
          <w:b/>
          <w:sz w:val="32"/>
          <w:szCs w:val="32"/>
          <w:lang w:val="ro-RO"/>
        </w:rPr>
        <w:t>4</w:t>
      </w:r>
    </w:p>
    <w:p w14:paraId="5AC50C0B" w14:textId="77777777" w:rsidR="004305E0" w:rsidRPr="004305E0" w:rsidRDefault="004305E0" w:rsidP="004305E0">
      <w:pPr>
        <w:ind w:left="0"/>
        <w:rPr>
          <w:rFonts w:eastAsia="Times New Roman" w:cs="Arial"/>
          <w:b/>
          <w:sz w:val="28"/>
          <w:szCs w:val="28"/>
          <w:lang w:val="ro-RO"/>
        </w:rPr>
      </w:pPr>
      <w:r w:rsidRPr="004305E0">
        <w:rPr>
          <w:rFonts w:eastAsia="Times New Roman" w:cs="Arial"/>
          <w:b/>
          <w:sz w:val="32"/>
          <w:szCs w:val="32"/>
          <w:lang w:val="ro-RO"/>
        </w:rPr>
        <w:br w:type="page"/>
      </w:r>
    </w:p>
    <w:p w14:paraId="546BEA5F" w14:textId="77777777" w:rsidR="004305E0" w:rsidRDefault="004305E0" w:rsidP="004305E0">
      <w:pPr>
        <w:ind w:left="0"/>
        <w:jc w:val="center"/>
        <w:rPr>
          <w:rFonts w:eastAsia="Calibri"/>
          <w:b/>
          <w:bCs/>
          <w:szCs w:val="24"/>
          <w:lang w:val="ro-RO"/>
        </w:rPr>
      </w:pPr>
      <w:r w:rsidRPr="004305E0">
        <w:rPr>
          <w:rFonts w:eastAsia="Calibri"/>
          <w:b/>
          <w:bCs/>
          <w:szCs w:val="24"/>
          <w:lang w:val="ro-RO"/>
        </w:rPr>
        <w:lastRenderedPageBreak/>
        <w:t>REGIA NAȚIONALĂ A PĂDURILOR-ROMSILVA</w:t>
      </w:r>
    </w:p>
    <w:p w14:paraId="45A1C127" w14:textId="77777777" w:rsidR="00951D44" w:rsidRPr="004305E0" w:rsidRDefault="00951D44" w:rsidP="004305E0">
      <w:pPr>
        <w:ind w:left="0"/>
        <w:jc w:val="center"/>
        <w:rPr>
          <w:rFonts w:eastAsia="Calibri"/>
          <w:b/>
          <w:bCs/>
          <w:color w:val="44546A"/>
          <w:szCs w:val="24"/>
          <w:lang w:val="ro-RO"/>
        </w:rPr>
      </w:pPr>
    </w:p>
    <w:p w14:paraId="4B0B1953" w14:textId="77777777" w:rsidR="004305E0" w:rsidRPr="004305E0" w:rsidRDefault="004305E0" w:rsidP="00430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Times New Roman" w:cs="Arial"/>
          <w:b/>
          <w:lang w:val="ro-RO"/>
        </w:rPr>
      </w:pPr>
      <w:r w:rsidRPr="004305E0">
        <w:rPr>
          <w:rFonts w:eastAsia="Times New Roman" w:cs="Arial"/>
          <w:b/>
          <w:lang w:val="ro-RO"/>
        </w:rPr>
        <w:t>I. INTRODUCERE</w:t>
      </w:r>
    </w:p>
    <w:p w14:paraId="03D764B1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Times New Roman" w:cs="Arial"/>
          <w:b/>
          <w:bCs/>
          <w:i/>
          <w:lang w:val="ro-RO"/>
        </w:rPr>
        <w:t xml:space="preserve">Adresa fizică: </w:t>
      </w:r>
      <w:r w:rsidRPr="004305E0">
        <w:rPr>
          <w:rFonts w:eastAsia="Calibri"/>
          <w:szCs w:val="24"/>
          <w:lang w:val="ro-RO"/>
        </w:rPr>
        <w:t>str. Petricani nr. 9A, sector 2, București</w:t>
      </w:r>
    </w:p>
    <w:p w14:paraId="793E7E1D" w14:textId="77777777" w:rsidR="004305E0" w:rsidRPr="004305E0" w:rsidRDefault="004305E0" w:rsidP="004305E0">
      <w:pPr>
        <w:ind w:left="0"/>
        <w:rPr>
          <w:rFonts w:ascii="Times New Roman" w:eastAsia="Calibri" w:hAnsi="Times New Roman"/>
          <w:i/>
          <w:iCs/>
          <w:color w:val="365F91"/>
          <w:sz w:val="24"/>
          <w:szCs w:val="24"/>
          <w:lang w:val="pt-BR"/>
        </w:rPr>
      </w:pPr>
      <w:r w:rsidRPr="004305E0">
        <w:rPr>
          <w:rFonts w:eastAsia="Times New Roman" w:cs="Arial"/>
          <w:b/>
          <w:bCs/>
          <w:i/>
          <w:lang w:val="ro-RO"/>
        </w:rPr>
        <w:t>Adresa virtuală</w:t>
      </w:r>
      <w:r w:rsidRPr="004305E0">
        <w:rPr>
          <w:rFonts w:eastAsia="Calibri" w:cs="Arial"/>
          <w:b/>
          <w:bCs/>
          <w:i/>
          <w:lang w:val="ro-RO"/>
        </w:rPr>
        <w:t xml:space="preserve">: </w:t>
      </w:r>
      <w:hyperlink r:id="rId8" w:history="1">
        <w:r w:rsidRPr="004305E0">
          <w:rPr>
            <w:rFonts w:eastAsia="Calibri"/>
            <w:color w:val="0000FF"/>
            <w:szCs w:val="24"/>
            <w:u w:val="single"/>
            <w:lang w:val="ro-RO"/>
          </w:rPr>
          <w:t>www.rosilva.ro</w:t>
        </w:r>
      </w:hyperlink>
      <w:r w:rsidRPr="004305E0">
        <w:rPr>
          <w:rFonts w:eastAsia="Calibri"/>
          <w:szCs w:val="24"/>
          <w:lang w:val="ro-RO"/>
        </w:rPr>
        <w:t xml:space="preserve"> </w:t>
      </w:r>
    </w:p>
    <w:p w14:paraId="6D7917FE" w14:textId="77777777" w:rsidR="004305E0" w:rsidRPr="004305E0" w:rsidRDefault="004305E0" w:rsidP="004305E0">
      <w:pPr>
        <w:keepNext/>
        <w:keepLines/>
        <w:numPr>
          <w:ilvl w:val="0"/>
          <w:numId w:val="5"/>
        </w:numPr>
        <w:spacing w:before="120"/>
        <w:ind w:left="0" w:firstLine="0"/>
        <w:outlineLvl w:val="4"/>
        <w:rPr>
          <w:rFonts w:eastAsia="Times New Roman" w:cs="Arial"/>
          <w:b/>
          <w:bCs/>
          <w:i/>
          <w:lang w:val="ro-RO"/>
        </w:rPr>
      </w:pPr>
      <w:r w:rsidRPr="004305E0">
        <w:rPr>
          <w:rFonts w:eastAsia="Times New Roman" w:cs="Arial"/>
          <w:b/>
          <w:bCs/>
          <w:i/>
          <w:lang w:val="ro-RO"/>
        </w:rPr>
        <w:t>Cadrul legal care reglementează activitatea instituției:</w:t>
      </w:r>
    </w:p>
    <w:p w14:paraId="599A560C" w14:textId="77777777" w:rsidR="004305E0" w:rsidRPr="004305E0" w:rsidRDefault="004305E0" w:rsidP="004305E0">
      <w:pPr>
        <w:ind w:left="0"/>
        <w:rPr>
          <w:rFonts w:eastAsia="Calibri"/>
          <w:color w:val="FF0000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 xml:space="preserve">Hotărârea nr. 229/2009 privind reorganizarea Regiei Naționale a Pădurilor-Romsilva și aprobarea regulamentului de organizare și funcționare, cu modificările </w:t>
      </w:r>
      <w:proofErr w:type="spellStart"/>
      <w:r w:rsidRPr="004305E0">
        <w:rPr>
          <w:rFonts w:eastAsia="Calibri"/>
          <w:szCs w:val="24"/>
          <w:lang w:val="ro-RO"/>
        </w:rPr>
        <w:t>şi</w:t>
      </w:r>
      <w:proofErr w:type="spellEnd"/>
      <w:r w:rsidRPr="004305E0">
        <w:rPr>
          <w:rFonts w:eastAsia="Calibri"/>
          <w:szCs w:val="24"/>
          <w:lang w:val="ro-RO"/>
        </w:rPr>
        <w:t xml:space="preserve"> completările ulterioare.</w:t>
      </w:r>
    </w:p>
    <w:p w14:paraId="10E3DE0F" w14:textId="77777777" w:rsidR="004305E0" w:rsidRPr="004305E0" w:rsidRDefault="004305E0" w:rsidP="004305E0">
      <w:pPr>
        <w:keepNext/>
        <w:keepLines/>
        <w:numPr>
          <w:ilvl w:val="0"/>
          <w:numId w:val="5"/>
        </w:numPr>
        <w:spacing w:before="120"/>
        <w:ind w:left="0" w:firstLine="0"/>
        <w:outlineLvl w:val="4"/>
        <w:rPr>
          <w:rFonts w:eastAsia="Times New Roman" w:cs="Arial"/>
          <w:b/>
          <w:bCs/>
          <w:i/>
          <w:lang w:val="ro-RO"/>
        </w:rPr>
      </w:pPr>
      <w:r w:rsidRPr="004305E0">
        <w:rPr>
          <w:rFonts w:eastAsia="Times New Roman" w:cs="Arial"/>
          <w:b/>
          <w:bCs/>
          <w:i/>
          <w:lang w:val="ro-RO"/>
        </w:rPr>
        <w:t>Misiune / atribuții / competențe / structura:</w:t>
      </w:r>
    </w:p>
    <w:p w14:paraId="10CA94CF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>RNP-Romsilva are ca scop principal gestionarea durabilă și unitară, în conformitate cu prevederile legale, a fondului forestier proprietate publică a statului.</w:t>
      </w:r>
    </w:p>
    <w:p w14:paraId="46BB74E2" w14:textId="77777777" w:rsidR="004305E0" w:rsidRPr="004305E0" w:rsidRDefault="004305E0" w:rsidP="004305E0">
      <w:pPr>
        <w:keepNext/>
        <w:keepLines/>
        <w:numPr>
          <w:ilvl w:val="0"/>
          <w:numId w:val="5"/>
        </w:numPr>
        <w:spacing w:before="120"/>
        <w:ind w:left="0" w:firstLine="0"/>
        <w:outlineLvl w:val="4"/>
        <w:rPr>
          <w:rFonts w:eastAsia="Calibri"/>
          <w:b/>
          <w:bCs/>
          <w:szCs w:val="24"/>
          <w:lang w:val="ro-RO"/>
        </w:rPr>
      </w:pPr>
      <w:r w:rsidRPr="004305E0">
        <w:rPr>
          <w:rFonts w:eastAsia="Calibri"/>
          <w:b/>
          <w:bCs/>
          <w:szCs w:val="24"/>
          <w:lang w:val="ro-RO"/>
        </w:rPr>
        <w:t>Organigrama:</w:t>
      </w:r>
    </w:p>
    <w:p w14:paraId="207FD7F9" w14:textId="77777777" w:rsidR="004305E0" w:rsidRPr="004305E0" w:rsidRDefault="004305E0" w:rsidP="004305E0">
      <w:pPr>
        <w:ind w:left="0"/>
        <w:rPr>
          <w:rFonts w:ascii="Times New Roman" w:eastAsia="Calibri" w:hAnsi="Times New Roman"/>
          <w:sz w:val="24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>În ceea ce privește organigrama Regiei Naționale a Pădurilor-Romsilva menționăm că aparatul central al regiei este alcătuit din: 42 de unități fără personalitate juridică, 22 de administrații de parcuri naturale/naționale, Muzeul Cinegetic al Carpaților Posada și Direcția de Creștere, Exploatare și Ameliorare a Cabalinelor.</w:t>
      </w:r>
    </w:p>
    <w:p w14:paraId="638D2513" w14:textId="77777777" w:rsidR="004305E0" w:rsidRPr="00951D44" w:rsidRDefault="004305E0" w:rsidP="00951D44">
      <w:pPr>
        <w:pStyle w:val="ListParagraph"/>
        <w:numPr>
          <w:ilvl w:val="0"/>
          <w:numId w:val="46"/>
        </w:numPr>
        <w:spacing w:before="120"/>
        <w:rPr>
          <w:rFonts w:eastAsia="Calibri"/>
          <w:szCs w:val="24"/>
          <w:lang w:val="ro-RO"/>
        </w:rPr>
      </w:pPr>
      <w:r w:rsidRPr="00951D44">
        <w:rPr>
          <w:rFonts w:eastAsia="Calibri"/>
          <w:b/>
          <w:bCs/>
          <w:szCs w:val="24"/>
          <w:lang w:val="ro-RO"/>
        </w:rPr>
        <w:t xml:space="preserve">Structuri subordonate: </w:t>
      </w:r>
    </w:p>
    <w:p w14:paraId="38D43DE4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>Romsilva are în structura sa 42 de unități fără personalitate juridică și 24 de unități cu personalitate juridică.</w:t>
      </w:r>
    </w:p>
    <w:p w14:paraId="41573490" w14:textId="77777777" w:rsidR="004305E0" w:rsidRPr="00951D44" w:rsidRDefault="004305E0" w:rsidP="00951D44">
      <w:pPr>
        <w:pStyle w:val="ListParagraph"/>
        <w:numPr>
          <w:ilvl w:val="0"/>
          <w:numId w:val="46"/>
        </w:numPr>
        <w:spacing w:before="120"/>
        <w:rPr>
          <w:rFonts w:eastAsia="Calibri"/>
          <w:szCs w:val="24"/>
          <w:lang w:val="ro-RO"/>
        </w:rPr>
      </w:pPr>
      <w:r w:rsidRPr="00951D44">
        <w:rPr>
          <w:rFonts w:eastAsia="Calibri"/>
          <w:b/>
          <w:bCs/>
          <w:szCs w:val="24"/>
          <w:lang w:val="ro-RO"/>
        </w:rPr>
        <w:t>Număr total poziții/funcții prevăzute în statul instituției (inclusiv numărul de funcții de conducere ocupate cu titlu permanent):</w:t>
      </w:r>
      <w:r w:rsidRPr="00951D44">
        <w:rPr>
          <w:rFonts w:eastAsia="Calibri"/>
          <w:szCs w:val="24"/>
          <w:lang w:val="ro-RO"/>
        </w:rPr>
        <w:t xml:space="preserve"> 16553 posturi.</w:t>
      </w:r>
    </w:p>
    <w:p w14:paraId="49883EE5" w14:textId="77777777" w:rsidR="004305E0" w:rsidRPr="004305E0" w:rsidRDefault="004305E0" w:rsidP="004305E0">
      <w:pPr>
        <w:numPr>
          <w:ilvl w:val="0"/>
          <w:numId w:val="5"/>
        </w:numPr>
        <w:spacing w:before="120"/>
        <w:ind w:left="0" w:firstLine="0"/>
        <w:rPr>
          <w:rFonts w:eastAsia="Calibri"/>
          <w:szCs w:val="24"/>
          <w:lang w:val="ro-RO"/>
        </w:rPr>
      </w:pPr>
      <w:r w:rsidRPr="004305E0">
        <w:rPr>
          <w:rFonts w:eastAsia="Calibri"/>
          <w:b/>
          <w:bCs/>
          <w:szCs w:val="24"/>
          <w:lang w:val="ro-RO"/>
        </w:rPr>
        <w:t>Resursele alocate pentru cele 3 standarde supuse evaluării:</w:t>
      </w:r>
    </w:p>
    <w:p w14:paraId="0AE1B515" w14:textId="77777777" w:rsidR="004305E0" w:rsidRPr="004305E0" w:rsidRDefault="004305E0" w:rsidP="004305E0">
      <w:pPr>
        <w:numPr>
          <w:ilvl w:val="0"/>
          <w:numId w:val="44"/>
        </w:numPr>
        <w:spacing w:before="120"/>
        <w:ind w:left="0" w:firstLine="0"/>
        <w:rPr>
          <w:rFonts w:eastAsia="Times New Roman"/>
          <w:lang w:val="ro-RO"/>
        </w:rPr>
      </w:pPr>
      <w:r w:rsidRPr="004305E0">
        <w:rPr>
          <w:rFonts w:eastAsia="Times New Roman"/>
          <w:b/>
          <w:lang w:val="ro-RO"/>
        </w:rPr>
        <w:t>resurse financiare, evidențiindu-le distinct pe cele alocate pentru pregătirea profesională:</w:t>
      </w:r>
      <w:r w:rsidRPr="004305E0">
        <w:rPr>
          <w:rFonts w:eastAsia="Times New Roman"/>
          <w:lang w:val="ro-RO"/>
        </w:rPr>
        <w:t xml:space="preserve"> </w:t>
      </w:r>
      <w:r w:rsidRPr="004305E0">
        <w:rPr>
          <w:rFonts w:eastAsia="Times New Roman"/>
          <w:i/>
          <w:lang w:val="ro-RO"/>
        </w:rPr>
        <w:t>nu implică resurse financiare suplimentare</w:t>
      </w:r>
      <w:r w:rsidRPr="004305E0">
        <w:rPr>
          <w:rFonts w:eastAsia="Times New Roman"/>
          <w:lang w:val="ro-RO"/>
        </w:rPr>
        <w:t>;</w:t>
      </w:r>
    </w:p>
    <w:p w14:paraId="0FEC8A99" w14:textId="77777777" w:rsidR="004305E0" w:rsidRPr="004305E0" w:rsidRDefault="004305E0" w:rsidP="004305E0">
      <w:pPr>
        <w:numPr>
          <w:ilvl w:val="0"/>
          <w:numId w:val="44"/>
        </w:numPr>
        <w:spacing w:before="120"/>
        <w:ind w:left="0" w:firstLine="0"/>
        <w:rPr>
          <w:rFonts w:eastAsia="Times New Roman"/>
          <w:lang w:val="ro-RO"/>
        </w:rPr>
      </w:pPr>
      <w:r w:rsidRPr="004305E0">
        <w:rPr>
          <w:rFonts w:eastAsia="Times New Roman"/>
          <w:b/>
          <w:lang w:val="ro-RO"/>
        </w:rPr>
        <w:t>resurse</w:t>
      </w:r>
      <w:r w:rsidRPr="004305E0">
        <w:rPr>
          <w:rFonts w:eastAsia="Times New Roman"/>
          <w:lang w:val="ro-RO"/>
        </w:rPr>
        <w:t xml:space="preserve"> </w:t>
      </w:r>
      <w:r w:rsidRPr="004305E0">
        <w:rPr>
          <w:rFonts w:eastAsia="Times New Roman"/>
          <w:b/>
          <w:lang w:val="ro-RO"/>
        </w:rPr>
        <w:t>umane</w:t>
      </w:r>
      <w:r w:rsidRPr="004305E0">
        <w:rPr>
          <w:rFonts w:eastAsia="Times New Roman"/>
          <w:lang w:val="ro-RO"/>
        </w:rPr>
        <w:t xml:space="preserve">: </w:t>
      </w:r>
      <w:r w:rsidRPr="004305E0">
        <w:rPr>
          <w:rFonts w:eastAsia="Times New Roman"/>
          <w:i/>
          <w:lang w:val="ro-RO"/>
        </w:rPr>
        <w:t>angajați desemnați prin decizie de către angajator</w:t>
      </w:r>
      <w:r w:rsidRPr="004305E0">
        <w:rPr>
          <w:rFonts w:eastAsia="Times New Roman"/>
          <w:lang w:val="ro-RO"/>
        </w:rPr>
        <w:t>;</w:t>
      </w:r>
    </w:p>
    <w:p w14:paraId="008DCA41" w14:textId="77777777" w:rsidR="004305E0" w:rsidRPr="004305E0" w:rsidRDefault="004305E0" w:rsidP="004305E0">
      <w:pPr>
        <w:numPr>
          <w:ilvl w:val="0"/>
          <w:numId w:val="44"/>
        </w:numPr>
        <w:spacing w:before="120"/>
        <w:ind w:left="0" w:firstLine="0"/>
        <w:rPr>
          <w:rFonts w:eastAsia="Times New Roman"/>
          <w:color w:val="FF0000"/>
          <w:lang w:val="ro-RO"/>
        </w:rPr>
      </w:pPr>
      <w:r w:rsidRPr="004305E0">
        <w:rPr>
          <w:rFonts w:eastAsia="Times New Roman"/>
          <w:b/>
          <w:lang w:val="ro-RO"/>
        </w:rPr>
        <w:t>resursele materiale (calculatoare, spațiu pentru desfășurarea activității, acces la internet etc.):</w:t>
      </w:r>
      <w:r w:rsidRPr="004305E0">
        <w:rPr>
          <w:rFonts w:eastAsia="Times New Roman"/>
          <w:lang w:val="ro-RO"/>
        </w:rPr>
        <w:t xml:space="preserve"> </w:t>
      </w:r>
      <w:r w:rsidRPr="004305E0">
        <w:rPr>
          <w:rFonts w:eastAsia="Times New Roman"/>
          <w:i/>
          <w:lang w:val="ro-RO"/>
        </w:rPr>
        <w:t>suficiente.</w:t>
      </w:r>
    </w:p>
    <w:p w14:paraId="5A94DBB4" w14:textId="77777777" w:rsidR="004305E0" w:rsidRPr="004305E0" w:rsidRDefault="004305E0" w:rsidP="004305E0">
      <w:pPr>
        <w:numPr>
          <w:ilvl w:val="0"/>
          <w:numId w:val="5"/>
        </w:numPr>
        <w:spacing w:before="120"/>
        <w:ind w:left="0" w:firstLine="0"/>
        <w:rPr>
          <w:rFonts w:eastAsia="Calibri"/>
          <w:b/>
          <w:bCs/>
          <w:szCs w:val="24"/>
          <w:lang w:val="ro-RO"/>
        </w:rPr>
      </w:pPr>
      <w:r w:rsidRPr="004305E0">
        <w:rPr>
          <w:rFonts w:eastAsia="Calibri"/>
          <w:b/>
          <w:bCs/>
          <w:szCs w:val="24"/>
          <w:lang w:val="ro-RO"/>
        </w:rPr>
        <w:t>Scopul misiunii de evaluare</w:t>
      </w:r>
    </w:p>
    <w:p w14:paraId="1BBD7C29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 xml:space="preserve">Prin Hotărârea Guvernului nr. 1269/2021 au fost aprobate </w:t>
      </w:r>
      <w:r w:rsidRPr="004305E0">
        <w:rPr>
          <w:rFonts w:eastAsia="Calibri"/>
          <w:i/>
          <w:szCs w:val="24"/>
          <w:lang w:val="ro-RO"/>
        </w:rPr>
        <w:t>Strategia Națională Anticorupție (SNA) 2021-2025</w:t>
      </w:r>
      <w:r w:rsidRPr="004305E0">
        <w:rPr>
          <w:rFonts w:eastAsia="Calibri"/>
          <w:szCs w:val="24"/>
          <w:lang w:val="ro-RO"/>
        </w:rPr>
        <w:t xml:space="preserve"> și documentele aferente acesteia.</w:t>
      </w:r>
    </w:p>
    <w:p w14:paraId="4F50E1D2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 xml:space="preserve">Potrivit art. 11 și 12 din </w:t>
      </w:r>
      <w:r w:rsidRPr="004305E0">
        <w:rPr>
          <w:rFonts w:eastAsia="Calibri"/>
          <w:i/>
          <w:iCs/>
          <w:szCs w:val="24"/>
          <w:lang w:val="ro-RO"/>
        </w:rPr>
        <w:t>Metodologia de monitorizare a implementării SNA 2021-2025</w:t>
      </w:r>
      <w:r w:rsidRPr="004305E0">
        <w:rPr>
          <w:rFonts w:eastAsia="Calibri"/>
          <w:szCs w:val="24"/>
          <w:lang w:val="ro-RO"/>
        </w:rPr>
        <w:t>, aprobată prin Ordinul Ministrului Justiției nr.2046/2022, în cadrul reuniunilor desfășurate în luna decembrie 2022, platformele de cooperare au aprobat temele de evaluare tematică și instituțiile ce urmează a fi supuse evaluării în anul 2023.</w:t>
      </w:r>
    </w:p>
    <w:p w14:paraId="6CF42694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 xml:space="preserve">Temele care fac obiectul misiunilor de evaluare tematică în anul 2023 sunt: </w:t>
      </w:r>
    </w:p>
    <w:p w14:paraId="6D78EE2E" w14:textId="77777777" w:rsidR="004305E0" w:rsidRPr="004305E0" w:rsidRDefault="004305E0" w:rsidP="004305E0">
      <w:pPr>
        <w:numPr>
          <w:ilvl w:val="1"/>
          <w:numId w:val="6"/>
        </w:numPr>
        <w:spacing w:before="120"/>
        <w:ind w:left="0" w:firstLine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 xml:space="preserve">evaluarea riscurilor de corupție în cadrul autorităților și instituțiilor publice centrale și locale; </w:t>
      </w:r>
    </w:p>
    <w:p w14:paraId="535642A3" w14:textId="77777777" w:rsidR="004305E0" w:rsidRPr="004305E0" w:rsidRDefault="004305E0" w:rsidP="004305E0">
      <w:pPr>
        <w:numPr>
          <w:ilvl w:val="1"/>
          <w:numId w:val="6"/>
        </w:numPr>
        <w:spacing w:before="120"/>
        <w:ind w:left="0" w:firstLine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lastRenderedPageBreak/>
        <w:t>evaluarea incidentelor de integritate în cadrul autorităților și instituțiilor publice centrale și locale</w:t>
      </w:r>
      <w:r w:rsidRPr="004305E0">
        <w:rPr>
          <w:rFonts w:eastAsia="Calibri"/>
          <w:szCs w:val="24"/>
        </w:rPr>
        <w:t>;</w:t>
      </w:r>
    </w:p>
    <w:p w14:paraId="2F473EA8" w14:textId="77777777" w:rsidR="004305E0" w:rsidRPr="004305E0" w:rsidRDefault="004305E0" w:rsidP="004305E0">
      <w:pPr>
        <w:numPr>
          <w:ilvl w:val="1"/>
          <w:numId w:val="6"/>
        </w:numPr>
        <w:spacing w:before="120"/>
        <w:ind w:left="0" w:firstLine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>gestionarea mecanismului de implementare a SNA de către instituțiile publice (inclusiv întreprinderi publice).</w:t>
      </w:r>
    </w:p>
    <w:p w14:paraId="5B3B8BE5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>Obiectivele procesului de monitorizare sunt:</w:t>
      </w:r>
    </w:p>
    <w:p w14:paraId="1672BA5E" w14:textId="77777777" w:rsidR="004305E0" w:rsidRPr="004305E0" w:rsidRDefault="004305E0" w:rsidP="004305E0">
      <w:pPr>
        <w:numPr>
          <w:ilvl w:val="0"/>
          <w:numId w:val="4"/>
        </w:numPr>
        <w:spacing w:before="120"/>
        <w:ind w:left="0" w:firstLine="0"/>
        <w:rPr>
          <w:lang w:val="ro-RO"/>
        </w:rPr>
      </w:pPr>
      <w:r w:rsidRPr="004305E0">
        <w:rPr>
          <w:lang w:val="ro-RO"/>
        </w:rPr>
        <w:t>Identificarea progreselor înregistrate în implementarea SNA;</w:t>
      </w:r>
    </w:p>
    <w:p w14:paraId="4A646A62" w14:textId="77777777" w:rsidR="004305E0" w:rsidRPr="004305E0" w:rsidRDefault="004305E0" w:rsidP="004305E0">
      <w:pPr>
        <w:numPr>
          <w:ilvl w:val="0"/>
          <w:numId w:val="4"/>
        </w:numPr>
        <w:spacing w:before="120"/>
        <w:ind w:left="0" w:firstLine="0"/>
        <w:rPr>
          <w:lang w:val="ro-RO"/>
        </w:rPr>
      </w:pPr>
      <w:r w:rsidRPr="004305E0">
        <w:rPr>
          <w:lang w:val="ro-RO"/>
        </w:rPr>
        <w:t>Identificarea și corectarea problemelor practice apărute în aplicarea politicilor și normelor anticorupție;</w:t>
      </w:r>
    </w:p>
    <w:p w14:paraId="09522153" w14:textId="77777777" w:rsidR="004305E0" w:rsidRPr="004305E0" w:rsidRDefault="004305E0" w:rsidP="004305E0">
      <w:pPr>
        <w:numPr>
          <w:ilvl w:val="0"/>
          <w:numId w:val="4"/>
        </w:numPr>
        <w:spacing w:before="120"/>
        <w:ind w:left="0" w:firstLine="0"/>
        <w:rPr>
          <w:lang w:val="ro-RO"/>
        </w:rPr>
      </w:pPr>
      <w:r w:rsidRPr="004305E0">
        <w:rPr>
          <w:lang w:val="ro-RO"/>
        </w:rPr>
        <w:t>Creșterea gradului de cunoaștere, înțelegere și implementare a măsurilor de prevenire a corupției, în sectorul public și privat.</w:t>
      </w:r>
    </w:p>
    <w:p w14:paraId="2ED519F6" w14:textId="77777777" w:rsidR="004305E0" w:rsidRPr="004305E0" w:rsidRDefault="004305E0" w:rsidP="004305E0">
      <w:pPr>
        <w:ind w:left="0"/>
        <w:rPr>
          <w:rFonts w:eastAsia="Calibri"/>
          <w:szCs w:val="24"/>
          <w:lang w:val="ro-RO"/>
        </w:rPr>
      </w:pPr>
      <w:r w:rsidRPr="004305E0">
        <w:rPr>
          <w:rFonts w:eastAsia="Calibri"/>
          <w:szCs w:val="24"/>
          <w:lang w:val="ro-RO"/>
        </w:rPr>
        <w:t>Procedura evaluării a constat în analiza și completarea chestionarului tematic de evaluare transmis la data de 13.04.2023, organizarea vizitei</w:t>
      </w:r>
      <w:r w:rsidRPr="004305E0">
        <w:rPr>
          <w:rFonts w:eastAsia="Calibri"/>
          <w:color w:val="FF0000"/>
          <w:szCs w:val="24"/>
          <w:lang w:val="ro-RO"/>
        </w:rPr>
        <w:t xml:space="preserve"> </w:t>
      </w:r>
      <w:r w:rsidRPr="004305E0">
        <w:rPr>
          <w:rFonts w:eastAsia="Calibri"/>
          <w:szCs w:val="24"/>
          <w:lang w:val="ro-RO"/>
        </w:rPr>
        <w:t>de evaluare la sediul Regiei Naționale a Pădurilor-Romsilva</w:t>
      </w:r>
      <w:r w:rsidRPr="004305E0">
        <w:rPr>
          <w:rFonts w:eastAsia="Times New Roman"/>
          <w:shd w:val="clear" w:color="auto" w:fill="FFFFFF"/>
          <w:lang w:val="ro-RO"/>
        </w:rPr>
        <w:t xml:space="preserve">, </w:t>
      </w:r>
      <w:r w:rsidRPr="004305E0">
        <w:rPr>
          <w:rFonts w:eastAsia="Calibri"/>
          <w:szCs w:val="24"/>
          <w:lang w:val="ro-RO"/>
        </w:rPr>
        <w:t>în data de 26 aprilie 2023, și în</w:t>
      </w:r>
      <w:r w:rsidRPr="004305E0">
        <w:rPr>
          <w:rFonts w:eastAsia="Calibri"/>
          <w:color w:val="FF0000"/>
          <w:szCs w:val="24"/>
          <w:lang w:val="ro-RO"/>
        </w:rPr>
        <w:t xml:space="preserve"> </w:t>
      </w:r>
      <w:r w:rsidRPr="004305E0">
        <w:rPr>
          <w:rFonts w:eastAsia="Calibri"/>
          <w:szCs w:val="24"/>
          <w:lang w:val="ro-RO"/>
        </w:rPr>
        <w:t xml:space="preserve">redactarea raportului de evaluare. </w:t>
      </w:r>
    </w:p>
    <w:p w14:paraId="4051BDAC" w14:textId="77777777" w:rsidR="004305E0" w:rsidRPr="004305E0" w:rsidRDefault="004305E0" w:rsidP="004305E0">
      <w:pPr>
        <w:keepNext/>
        <w:keepLines/>
        <w:numPr>
          <w:ilvl w:val="0"/>
          <w:numId w:val="3"/>
        </w:numPr>
        <w:spacing w:before="120"/>
        <w:ind w:left="0" w:firstLine="0"/>
        <w:outlineLvl w:val="4"/>
        <w:rPr>
          <w:rFonts w:eastAsia="Times New Roman" w:cs="Arial"/>
          <w:b/>
          <w:bCs/>
          <w:i/>
          <w:lang w:val="ro-RO"/>
        </w:rPr>
      </w:pPr>
      <w:r w:rsidRPr="004305E0">
        <w:rPr>
          <w:rFonts w:eastAsia="Times New Roman" w:cs="Arial"/>
          <w:b/>
          <w:bCs/>
          <w:i/>
          <w:lang w:val="ro-RO"/>
        </w:rPr>
        <w:t>Componența echipei de evaluare</w:t>
      </w:r>
    </w:p>
    <w:p w14:paraId="1AE63804" w14:textId="77777777" w:rsidR="004305E0" w:rsidRPr="004305E0" w:rsidRDefault="004305E0" w:rsidP="004305E0">
      <w:pPr>
        <w:ind w:left="0"/>
        <w:rPr>
          <w:rFonts w:eastAsia="Times New Roman" w:cs="Arial"/>
          <w:b/>
          <w:bCs/>
          <w:szCs w:val="24"/>
          <w:lang w:val="ro-RO"/>
        </w:rPr>
      </w:pPr>
      <w:r w:rsidRPr="004305E0">
        <w:rPr>
          <w:rFonts w:eastAsia="Times New Roman" w:cs="Arial"/>
          <w:b/>
          <w:bCs/>
          <w:szCs w:val="24"/>
          <w:lang w:val="ro-RO"/>
        </w:rPr>
        <w:t>Echipa de evaluare a fost compusă din 3 persoane:</w:t>
      </w:r>
    </w:p>
    <w:p w14:paraId="0CFFC4B4" w14:textId="77777777" w:rsidR="004305E0" w:rsidRPr="004305E0" w:rsidRDefault="004305E0" w:rsidP="004305E0">
      <w:pPr>
        <w:numPr>
          <w:ilvl w:val="0"/>
          <w:numId w:val="2"/>
        </w:numPr>
        <w:spacing w:before="120"/>
        <w:ind w:left="0" w:firstLine="0"/>
        <w:contextualSpacing/>
        <w:rPr>
          <w:rFonts w:eastAsia="Calibri"/>
          <w:color w:val="000000"/>
          <w:szCs w:val="24"/>
          <w:lang w:val="ro-RO"/>
        </w:rPr>
      </w:pPr>
      <w:r w:rsidRPr="004305E0">
        <w:rPr>
          <w:rFonts w:eastAsia="Calibri"/>
          <w:color w:val="000000"/>
          <w:szCs w:val="24"/>
          <w:lang w:val="ro-RO"/>
        </w:rPr>
        <w:t xml:space="preserve">D-na. Ana Maria Neamțu, </w:t>
      </w:r>
      <w:bookmarkStart w:id="1" w:name="_Hlk24387165"/>
      <w:r w:rsidRPr="004305E0">
        <w:rPr>
          <w:rFonts w:eastAsia="Calibri"/>
          <w:color w:val="000000"/>
          <w:szCs w:val="24"/>
          <w:lang w:val="ro-RO"/>
        </w:rPr>
        <w:t>personal de specialitate juridică asimilat judecătorilor și procurorilor</w:t>
      </w:r>
      <w:bookmarkEnd w:id="1"/>
      <w:r w:rsidRPr="004305E0">
        <w:rPr>
          <w:rFonts w:eastAsia="Calibri"/>
          <w:color w:val="000000"/>
          <w:szCs w:val="24"/>
          <w:lang w:val="ro-RO"/>
        </w:rPr>
        <w:t xml:space="preserve">, Ministerul Justiției, </w:t>
      </w:r>
      <w:r w:rsidRPr="004305E0">
        <w:rPr>
          <w:rFonts w:eastAsia="Calibri"/>
          <w:szCs w:val="24"/>
          <w:lang w:val="ro-RO"/>
        </w:rPr>
        <w:t xml:space="preserve">expert evaluator din cadrul platformei </w:t>
      </w:r>
      <w:r w:rsidRPr="004305E0">
        <w:rPr>
          <w:shd w:val="clear" w:color="auto" w:fill="FFFFFF"/>
          <w:lang w:val="ro-RO"/>
        </w:rPr>
        <w:t>administrației publice centrale</w:t>
      </w:r>
      <w:r w:rsidRPr="004305E0">
        <w:rPr>
          <w:rFonts w:eastAsia="Calibri"/>
          <w:color w:val="000000"/>
          <w:szCs w:val="24"/>
          <w:lang w:val="ro-RO"/>
        </w:rPr>
        <w:t>;</w:t>
      </w:r>
    </w:p>
    <w:p w14:paraId="4B29D94C" w14:textId="77777777" w:rsidR="004305E0" w:rsidRPr="004305E0" w:rsidRDefault="004305E0" w:rsidP="004305E0">
      <w:pPr>
        <w:numPr>
          <w:ilvl w:val="0"/>
          <w:numId w:val="2"/>
        </w:numPr>
        <w:spacing w:before="120"/>
        <w:ind w:left="0" w:firstLine="0"/>
        <w:contextualSpacing/>
        <w:rPr>
          <w:rFonts w:eastAsia="Calibri"/>
          <w:color w:val="000000"/>
          <w:szCs w:val="24"/>
          <w:lang w:val="ro-RO"/>
        </w:rPr>
      </w:pPr>
      <w:r w:rsidRPr="004305E0">
        <w:rPr>
          <w:rFonts w:eastAsia="Calibri"/>
          <w:color w:val="000000"/>
          <w:szCs w:val="24"/>
          <w:lang w:val="ro-RO"/>
        </w:rPr>
        <w:t xml:space="preserve">D-na. Rebeca Filip – Direcția Generală Anticorupție, </w:t>
      </w:r>
      <w:r w:rsidRPr="004305E0">
        <w:rPr>
          <w:rFonts w:eastAsia="Calibri"/>
          <w:szCs w:val="24"/>
          <w:lang w:val="ro-RO"/>
        </w:rPr>
        <w:t xml:space="preserve">expert evaluator din cadrul </w:t>
      </w:r>
      <w:bookmarkStart w:id="2" w:name="_Hlk150181000"/>
      <w:r w:rsidRPr="004305E0">
        <w:rPr>
          <w:rFonts w:eastAsia="Calibri"/>
          <w:bCs/>
          <w:szCs w:val="24"/>
          <w:lang w:val="ro-RO"/>
        </w:rPr>
        <w:t xml:space="preserve">platformei </w:t>
      </w:r>
      <w:bookmarkStart w:id="3" w:name="_Hlk150178922"/>
      <w:r w:rsidRPr="004305E0">
        <w:rPr>
          <w:rFonts w:eastAsia="Calibri"/>
          <w:bCs/>
          <w:szCs w:val="24"/>
          <w:lang w:val="ro-RO"/>
        </w:rPr>
        <w:t>autorităților independente și a instituțiilor anticorupție</w:t>
      </w:r>
      <w:bookmarkEnd w:id="2"/>
      <w:bookmarkEnd w:id="3"/>
      <w:r w:rsidRPr="004305E0">
        <w:rPr>
          <w:rFonts w:eastAsia="Calibri"/>
          <w:color w:val="000000"/>
          <w:szCs w:val="24"/>
          <w:lang w:val="ro-RO"/>
        </w:rPr>
        <w:t xml:space="preserve">; </w:t>
      </w:r>
    </w:p>
    <w:p w14:paraId="1F822362" w14:textId="77777777" w:rsidR="004305E0" w:rsidRPr="004305E0" w:rsidRDefault="004305E0" w:rsidP="004305E0">
      <w:pPr>
        <w:numPr>
          <w:ilvl w:val="0"/>
          <w:numId w:val="2"/>
        </w:numPr>
        <w:spacing w:before="120"/>
        <w:ind w:left="0" w:firstLine="0"/>
        <w:contextualSpacing/>
        <w:rPr>
          <w:rFonts w:eastAsia="Calibri"/>
          <w:color w:val="000000"/>
          <w:szCs w:val="24"/>
          <w:lang w:val="ro-RO"/>
        </w:rPr>
      </w:pPr>
      <w:r w:rsidRPr="004305E0">
        <w:rPr>
          <w:rFonts w:eastAsia="Calibri"/>
          <w:color w:val="000000"/>
          <w:szCs w:val="24"/>
          <w:lang w:val="ro-RO"/>
        </w:rPr>
        <w:t>D-na. Anamaria Ramona Rusu -</w:t>
      </w:r>
      <w:r w:rsidRPr="004305E0">
        <w:rPr>
          <w:rFonts w:eastAsia="Calibri"/>
          <w:szCs w:val="24"/>
          <w:lang w:val="ro-RO"/>
        </w:rPr>
        <w:t xml:space="preserve"> </w:t>
      </w:r>
      <w:r w:rsidRPr="004305E0">
        <w:rPr>
          <w:rFonts w:eastAsia="Calibri"/>
          <w:color w:val="000000"/>
          <w:szCs w:val="24"/>
          <w:lang w:val="ro-RO"/>
        </w:rPr>
        <w:t>Comisia Antifraudă, ARB, expert evaluator din cadrul platformei mediului de afaceri.</w:t>
      </w:r>
    </w:p>
    <w:p w14:paraId="5E943A38" w14:textId="77777777" w:rsidR="004305E0" w:rsidRPr="004305E0" w:rsidRDefault="004305E0" w:rsidP="004305E0">
      <w:pPr>
        <w:ind w:left="0"/>
        <w:contextualSpacing/>
        <w:rPr>
          <w:rFonts w:eastAsia="Calibri" w:cs="Tahoma"/>
          <w:b/>
          <w:bCs/>
          <w:szCs w:val="24"/>
          <w:shd w:val="clear" w:color="auto" w:fill="FFFFFF"/>
          <w:lang w:val="ro-RO"/>
        </w:rPr>
      </w:pPr>
      <w:r w:rsidRPr="004305E0">
        <w:rPr>
          <w:rFonts w:eastAsia="Times New Roman" w:cs="Arial"/>
          <w:b/>
          <w:bCs/>
          <w:szCs w:val="24"/>
          <w:lang w:val="ro-RO"/>
        </w:rPr>
        <w:t>Reprezentanții Regiei Naționale a Pădurilor-Romsilva care au luat parte la întâlnire au fost:</w:t>
      </w:r>
      <w:r w:rsidRPr="004305E0">
        <w:rPr>
          <w:rFonts w:eastAsia="Calibri" w:cs="Tahoma"/>
          <w:b/>
          <w:bCs/>
          <w:szCs w:val="24"/>
          <w:shd w:val="clear" w:color="auto" w:fill="FFFFFF"/>
          <w:lang w:val="ro-RO"/>
        </w:rPr>
        <w:t xml:space="preserve"> </w:t>
      </w:r>
    </w:p>
    <w:p w14:paraId="778A6B74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Eleodor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</w:t>
      </w: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Olavi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Nițescu – Director General Adjunct – Șef al</w:t>
      </w:r>
      <w:r w:rsidRPr="004305E0">
        <w:rPr>
          <w:rFonts w:eastAsia="Calibri"/>
          <w:szCs w:val="24"/>
          <w:lang w:val="ro-RO"/>
        </w:rPr>
        <w:t xml:space="preserve"> </w:t>
      </w: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Grupului de lucru pentru implementarea metodologiei standard de evaluare a riscurilor de corupție;</w:t>
      </w:r>
    </w:p>
    <w:p w14:paraId="14493DAD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Dorin </w:t>
      </w: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Gârbacea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– Președinte Consiliu de Disciplină – membru</w:t>
      </w:r>
      <w:r w:rsidRPr="004305E0">
        <w:rPr>
          <w:rFonts w:eastAsia="Calibri"/>
          <w:szCs w:val="24"/>
          <w:lang w:val="ro-RO"/>
        </w:rPr>
        <w:t xml:space="preserve"> al </w:t>
      </w: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Grupului de lucru pentru implementarea metodologiei standard de evaluare a riscurilor de corupție; </w:t>
      </w:r>
    </w:p>
    <w:p w14:paraId="58CFC520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Ionel </w:t>
      </w: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Uță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– Consilier juridic –</w:t>
      </w:r>
      <w:r w:rsidRPr="004305E0">
        <w:rPr>
          <w:rFonts w:eastAsia="Calibri"/>
          <w:szCs w:val="24"/>
          <w:lang w:val="ro-RO"/>
        </w:rPr>
        <w:t xml:space="preserve"> </w:t>
      </w: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membru al Grupului de lucru pentru implementarea metodologiei standard de evaluare a riscurilor de corupție;</w:t>
      </w:r>
    </w:p>
    <w:p w14:paraId="35CA4E11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Cătănoiu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Anca Eugenia – Serviciu Audit Intern;</w:t>
      </w:r>
    </w:p>
    <w:p w14:paraId="2D21BC2B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Bogdan </w:t>
      </w: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Achimenco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– Șef Serviciu Financiar –</w:t>
      </w:r>
      <w:r w:rsidRPr="004305E0">
        <w:rPr>
          <w:rFonts w:eastAsia="Calibri"/>
          <w:szCs w:val="24"/>
          <w:lang w:val="ro-RO"/>
        </w:rPr>
        <w:t xml:space="preserve"> </w:t>
      </w: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membru al Grupului de lucru pentru implementarea metodologiei standard de evaluare a riscurilor de corupție;</w:t>
      </w:r>
    </w:p>
    <w:p w14:paraId="023C76DF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Ileana </w:t>
      </w: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Murariu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– referent – Serviciul Cinegetică, Salmonicultură și </w:t>
      </w: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Silvoturism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–</w:t>
      </w:r>
      <w:r w:rsidRPr="004305E0">
        <w:rPr>
          <w:rFonts w:eastAsia="Calibri"/>
          <w:szCs w:val="24"/>
          <w:lang w:val="ro-RO"/>
        </w:rPr>
        <w:t xml:space="preserve"> </w:t>
      </w: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membru al Grupului de lucru pentru implementarea metodologiei standard de evaluare a riscurilor de corupție;</w:t>
      </w:r>
    </w:p>
    <w:p w14:paraId="64A8F3CB" w14:textId="77777777" w:rsidR="004305E0" w:rsidRPr="004305E0" w:rsidRDefault="004305E0" w:rsidP="004305E0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Iuliana Vasilica Alexandru – referent Cabinet Director general – secretar comisie;</w:t>
      </w:r>
    </w:p>
    <w:p w14:paraId="409DA816" w14:textId="77777777" w:rsidR="004305E0" w:rsidRPr="004305E0" w:rsidRDefault="004305E0" w:rsidP="004305E0">
      <w:pPr>
        <w:numPr>
          <w:ilvl w:val="1"/>
          <w:numId w:val="45"/>
        </w:numPr>
        <w:tabs>
          <w:tab w:val="left" w:pos="720"/>
        </w:tabs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proofErr w:type="spellStart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>Ginela</w:t>
      </w:r>
      <w:proofErr w:type="spellEnd"/>
      <w:r w:rsidRPr="004305E0">
        <w:rPr>
          <w:rFonts w:eastAsia="Calibri" w:cs="Tahoma"/>
          <w:bCs/>
          <w:szCs w:val="24"/>
          <w:shd w:val="clear" w:color="auto" w:fill="FFFFFF"/>
          <w:lang w:val="ro-RO"/>
        </w:rPr>
        <w:t xml:space="preserve"> Grădinaru - consilier Direcția Corp Control, Integritate și Anticorupție, Compartimentul de Integritate și Anticorupție - Ministerul Mediului, Apelor și Pădurilor.</w:t>
      </w:r>
    </w:p>
    <w:p w14:paraId="7B462FB3" w14:textId="77777777" w:rsidR="004305E0" w:rsidRPr="004305E0" w:rsidRDefault="004305E0" w:rsidP="004305E0">
      <w:pPr>
        <w:ind w:left="0"/>
        <w:contextualSpacing/>
        <w:rPr>
          <w:rFonts w:cs="Tahoma"/>
          <w:b/>
          <w:bCs/>
          <w:shd w:val="clear" w:color="auto" w:fill="FFFFFF"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>Din partea Secretariatului tehnic al SNA a participat:</w:t>
      </w:r>
    </w:p>
    <w:p w14:paraId="4EA0F2D1" w14:textId="77777777" w:rsidR="004305E0" w:rsidRDefault="004305E0" w:rsidP="004305E0">
      <w:pPr>
        <w:numPr>
          <w:ilvl w:val="0"/>
          <w:numId w:val="2"/>
        </w:numPr>
        <w:spacing w:before="120"/>
        <w:ind w:left="0" w:firstLine="0"/>
        <w:contextualSpacing/>
        <w:rPr>
          <w:shd w:val="clear" w:color="auto" w:fill="FFFFFF"/>
          <w:lang w:val="ro-RO"/>
        </w:rPr>
      </w:pPr>
      <w:r w:rsidRPr="004305E0">
        <w:rPr>
          <w:shd w:val="clear" w:color="auto" w:fill="FFFFFF"/>
          <w:lang w:val="ro-RO"/>
        </w:rPr>
        <w:t xml:space="preserve">D-na Cristina Lenuța </w:t>
      </w:r>
      <w:proofErr w:type="spellStart"/>
      <w:r w:rsidRPr="004305E0">
        <w:rPr>
          <w:shd w:val="clear" w:color="auto" w:fill="FFFFFF"/>
          <w:lang w:val="ro-RO"/>
        </w:rPr>
        <w:t>Boştinaru-Beclea</w:t>
      </w:r>
      <w:proofErr w:type="spellEnd"/>
      <w:r w:rsidRPr="004305E0">
        <w:rPr>
          <w:shd w:val="clear" w:color="auto" w:fill="FFFFFF"/>
          <w:lang w:val="ro-RO"/>
        </w:rPr>
        <w:t>, personal de specialitate juridică asimilat judecătorilor și procurorilor, Ministerul Justiției.</w:t>
      </w:r>
    </w:p>
    <w:p w14:paraId="6DBE839F" w14:textId="77777777" w:rsidR="00682252" w:rsidRPr="004305E0" w:rsidRDefault="00682252" w:rsidP="00682252">
      <w:pPr>
        <w:spacing w:before="120"/>
        <w:ind w:left="0"/>
        <w:contextualSpacing/>
        <w:rPr>
          <w:shd w:val="clear" w:color="auto" w:fill="FFFFFF"/>
          <w:lang w:val="ro-RO"/>
        </w:rPr>
      </w:pPr>
    </w:p>
    <w:p w14:paraId="0F902175" w14:textId="77777777" w:rsidR="004305E0" w:rsidRPr="004305E0" w:rsidRDefault="004305E0" w:rsidP="00430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Times New Roman" w:cs="Arial"/>
          <w:b/>
          <w:lang w:val="ro-RO"/>
        </w:rPr>
      </w:pPr>
      <w:r w:rsidRPr="004305E0">
        <w:rPr>
          <w:rFonts w:eastAsia="Times New Roman" w:cs="Arial"/>
          <w:b/>
          <w:lang w:val="ro-RO"/>
        </w:rPr>
        <w:lastRenderedPageBreak/>
        <w:t>II. CONSTATĂRI</w:t>
      </w:r>
    </w:p>
    <w:p w14:paraId="27603DB4" w14:textId="77777777" w:rsidR="004305E0" w:rsidRPr="004305E0" w:rsidRDefault="004305E0" w:rsidP="004305E0">
      <w:pPr>
        <w:numPr>
          <w:ilvl w:val="0"/>
          <w:numId w:val="8"/>
        </w:numPr>
        <w:spacing w:before="120"/>
        <w:ind w:left="0" w:firstLine="0"/>
        <w:rPr>
          <w:rFonts w:eastAsia="Times New Roman" w:cs="Arial"/>
          <w:b/>
          <w:bCs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 xml:space="preserve">EVALUAREA RISCURILOR DE CORUPȚIE ÎN CADRUL AUTORITĂȚILOR ȘI INSTITUȚIILOR PUBLICE CENTRALE ȘI LOCALE </w:t>
      </w:r>
    </w:p>
    <w:p w14:paraId="322BDEB6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Cu ocazia vizitei de evaluare tematică, echipa de evaluare a constatat că la nivelul </w:t>
      </w:r>
      <w:r w:rsidRPr="004305E0">
        <w:rPr>
          <w:rFonts w:eastAsia="Times New Roman" w:cs="Arial"/>
          <w:bCs/>
          <w:szCs w:val="24"/>
          <w:lang w:val="ro-RO"/>
        </w:rPr>
        <w:t>Regiei Naționale a Pădurilor-Romsilva</w:t>
      </w:r>
      <w:r w:rsidRPr="004305E0">
        <w:rPr>
          <w:rFonts w:eastAsia="Times New Roman" w:cs="Arial"/>
          <w:bCs/>
          <w:lang w:val="ro-RO"/>
        </w:rPr>
        <w:t xml:space="preserve"> a fost constituit</w:t>
      </w:r>
      <w:r w:rsidRPr="004305E0">
        <w:rPr>
          <w:rFonts w:eastAsia="Times New Roman" w:cs="Arial"/>
          <w:bCs/>
          <w:color w:val="FF0000"/>
          <w:lang w:val="ro-RO"/>
        </w:rPr>
        <w:t xml:space="preserve"> </w:t>
      </w:r>
      <w:r w:rsidRPr="004305E0">
        <w:rPr>
          <w:rFonts w:eastAsia="Times New Roman" w:cs="Arial"/>
          <w:bCs/>
          <w:lang w:val="ro-RO"/>
        </w:rPr>
        <w:t>Grupul de lucru pentru implementarea metodologiei standard de evaluare a riscurilor de corupție, conform art. 6 din Metodologia standard de evaluare a riscurilor de corupție în cadrul autorităților și instituțiilor publice centrale, aprobată prin Hotărârea Guvernului nr. 599/2018. Constituirea s-a realizat prin Decizia directorului general din anul 2022, actualizată în 2023 (Decizia nr. 104/05.04.2023).</w:t>
      </w:r>
    </w:p>
    <w:p w14:paraId="580BA80F" w14:textId="77777777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4305E0">
        <w:rPr>
          <w:rFonts w:eastAsia="Times New Roman" w:cs="Arial"/>
          <w:bCs/>
          <w:lang w:val="ro-RO"/>
        </w:rPr>
        <w:t>Grupul de lucru are următoarea componență:</w:t>
      </w:r>
    </w:p>
    <w:p w14:paraId="523B2D47" w14:textId="77777777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>Director General Adjunct</w:t>
      </w:r>
    </w:p>
    <w:p w14:paraId="4344D0DD" w14:textId="61BDCF69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Președinte </w:t>
      </w:r>
      <w:r w:rsidR="00682252"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- </w:t>
      </w: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>Consiliu de disciplină</w:t>
      </w:r>
    </w:p>
    <w:p w14:paraId="420D807B" w14:textId="387ECDBF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>Consilier de etică/de integritate</w:t>
      </w:r>
    </w:p>
    <w:p w14:paraId="1B06D27E" w14:textId="0A1B4EAE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Inginer silvic </w:t>
      </w:r>
      <w:r w:rsidR="00682252" w:rsidRPr="001D548B">
        <w:rPr>
          <w:rFonts w:eastAsia="Calibri" w:cs="Tahoma"/>
          <w:bCs/>
          <w:szCs w:val="24"/>
          <w:shd w:val="clear" w:color="auto" w:fill="FFFFFF"/>
          <w:lang w:val="ro-RO"/>
        </w:rPr>
        <w:t>-</w:t>
      </w: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 Compartiment Corp Control</w:t>
      </w:r>
    </w:p>
    <w:p w14:paraId="6FC5DD26" w14:textId="77777777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Șef Serviciu audit intern </w:t>
      </w:r>
    </w:p>
    <w:p w14:paraId="14C1EF8C" w14:textId="77777777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>Șef Serviciu financiar</w:t>
      </w:r>
    </w:p>
    <w:p w14:paraId="6F0F8155" w14:textId="7E51134E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Șef Serviciu </w:t>
      </w:r>
      <w:r w:rsidR="00682252" w:rsidRPr="001D548B">
        <w:rPr>
          <w:rFonts w:eastAsia="Calibri" w:cs="Tahoma"/>
          <w:bCs/>
          <w:szCs w:val="24"/>
          <w:shd w:val="clear" w:color="auto" w:fill="FFFFFF"/>
          <w:lang w:val="ro-RO"/>
        </w:rPr>
        <w:t>-</w:t>
      </w: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 Organizare, programare și resurse umane </w:t>
      </w:r>
    </w:p>
    <w:p w14:paraId="40E191EA" w14:textId="77777777" w:rsidR="004305E0" w:rsidRPr="001D548B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 xml:space="preserve">Specialist resurse umane </w:t>
      </w:r>
    </w:p>
    <w:p w14:paraId="28A7978D" w14:textId="77777777" w:rsidR="004305E0" w:rsidRDefault="004305E0" w:rsidP="001D548B">
      <w:pPr>
        <w:numPr>
          <w:ilvl w:val="1"/>
          <w:numId w:val="45"/>
        </w:numPr>
        <w:spacing w:before="120"/>
        <w:ind w:left="0" w:firstLine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  <w:r w:rsidRPr="001D548B">
        <w:rPr>
          <w:rFonts w:eastAsia="Calibri" w:cs="Tahoma"/>
          <w:bCs/>
          <w:szCs w:val="24"/>
          <w:shd w:val="clear" w:color="auto" w:fill="FFFFFF"/>
          <w:lang w:val="ro-RO"/>
        </w:rPr>
        <w:t>1 secretar comisie</w:t>
      </w:r>
    </w:p>
    <w:p w14:paraId="79F5849C" w14:textId="77777777" w:rsidR="001D548B" w:rsidRPr="001D548B" w:rsidRDefault="001D548B" w:rsidP="001D548B">
      <w:pPr>
        <w:spacing w:before="120"/>
        <w:ind w:left="0"/>
        <w:contextualSpacing/>
        <w:rPr>
          <w:rFonts w:eastAsia="Calibri" w:cs="Tahoma"/>
          <w:bCs/>
          <w:szCs w:val="24"/>
          <w:shd w:val="clear" w:color="auto" w:fill="FFFFFF"/>
          <w:lang w:val="ro-RO"/>
        </w:rPr>
      </w:pPr>
    </w:p>
    <w:p w14:paraId="406DB205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În anul 2022, Grupul de lucru pentru implementarea metodologiei standard de evaluare a riscurilor de corupție nu a identificat și</w:t>
      </w:r>
      <w:r w:rsidRPr="004305E0">
        <w:rPr>
          <w:rFonts w:eastAsia="Times New Roman" w:cs="Arial"/>
          <w:bCs/>
          <w:color w:val="FF0000"/>
          <w:lang w:val="ro-RO"/>
        </w:rPr>
        <w:t xml:space="preserve"> </w:t>
      </w:r>
      <w:r w:rsidRPr="004305E0">
        <w:rPr>
          <w:rFonts w:eastAsia="Times New Roman" w:cs="Arial"/>
          <w:bCs/>
          <w:lang w:val="ro-RO"/>
        </w:rPr>
        <w:t>descris riscurile de corupție, conform art. 11 din Metodologia standard de evaluare a riscurilor de corupție în cadrul autorităților și instituțiilor publice centrale, nefiind întocmit Registrul riscurilor de corupție.</w:t>
      </w:r>
    </w:p>
    <w:p w14:paraId="4B5353B1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Conform discuțiilor din cadrul vizitei, în 26.04.2023 a fost inițiat demersul de elaborare a   Registrului riscurilor de corupție. </w:t>
      </w:r>
    </w:p>
    <w:p w14:paraId="56BE7A07" w14:textId="77777777" w:rsidR="004305E0" w:rsidRDefault="004305E0" w:rsidP="004305E0">
      <w:pPr>
        <w:ind w:left="0"/>
        <w:rPr>
          <w:rFonts w:eastAsia="Times New Roman" w:cs="Arial"/>
          <w:color w:val="FF0000"/>
          <w:lang w:val="ro-RO"/>
        </w:rPr>
      </w:pPr>
      <w:r w:rsidRPr="004305E0">
        <w:rPr>
          <w:rFonts w:eastAsia="Times New Roman" w:cs="Arial"/>
          <w:lang w:val="ro-RO"/>
        </w:rPr>
        <w:t xml:space="preserve">Cu referire la programele de formare în domeniul implementării prevederilor legale referitoare la analiza riscurilor de corupție, în anul 2022 nu au existat astfel de programe. </w:t>
      </w:r>
      <w:bookmarkStart w:id="4" w:name="_Hlk151624331"/>
      <w:r w:rsidRPr="004305E0">
        <w:rPr>
          <w:rFonts w:eastAsia="Times New Roman" w:cs="Arial"/>
          <w:lang w:val="ro-RO"/>
        </w:rPr>
        <w:t xml:space="preserve">În cadrul vizitei, echipa de evaluare a fost informată cu privire la faptul că în perioada 19-20 aprilie 2023, reprezentanți ai instituției, membri ai </w:t>
      </w:r>
      <w:r w:rsidRPr="004305E0">
        <w:rPr>
          <w:rFonts w:eastAsia="Times New Roman" w:cs="Arial"/>
          <w:i/>
          <w:lang w:val="ro-RO"/>
        </w:rPr>
        <w:t>Grupului de lucru pentru implementarea metodologiei standard de evaluare a riscurilor de corupție,</w:t>
      </w:r>
      <w:r w:rsidRPr="004305E0">
        <w:rPr>
          <w:rFonts w:eastAsia="Times New Roman" w:cs="Arial"/>
          <w:lang w:val="ro-RO"/>
        </w:rPr>
        <w:t xml:space="preserve"> au participat la un curs de formare profesională, denumit </w:t>
      </w:r>
      <w:r w:rsidRPr="004305E0">
        <w:rPr>
          <w:rFonts w:eastAsia="Times New Roman" w:cs="Arial"/>
          <w:i/>
          <w:lang w:val="ro-RO"/>
        </w:rPr>
        <w:t>Etică și Integritate - SNA 2021-2025</w:t>
      </w:r>
      <w:r w:rsidRPr="004305E0">
        <w:rPr>
          <w:rFonts w:eastAsia="Times New Roman" w:cs="Arial"/>
          <w:i/>
          <w:vertAlign w:val="superscript"/>
          <w:lang w:val="ro-RO"/>
        </w:rPr>
        <w:footnoteReference w:id="2"/>
      </w:r>
      <w:r w:rsidRPr="004305E0">
        <w:rPr>
          <w:rFonts w:eastAsia="Times New Roman" w:cs="Arial"/>
          <w:lang w:val="ro-RO"/>
        </w:rPr>
        <w:t>.</w:t>
      </w:r>
      <w:r w:rsidRPr="004305E0">
        <w:rPr>
          <w:rFonts w:eastAsia="Times New Roman" w:cs="Arial"/>
          <w:color w:val="FF0000"/>
          <w:lang w:val="ro-RO"/>
        </w:rPr>
        <w:t xml:space="preserve"> </w:t>
      </w:r>
      <w:bookmarkEnd w:id="4"/>
    </w:p>
    <w:p w14:paraId="687A18BA" w14:textId="77777777" w:rsidR="00951D44" w:rsidRPr="004305E0" w:rsidRDefault="00951D44" w:rsidP="004305E0">
      <w:pPr>
        <w:ind w:left="0"/>
        <w:rPr>
          <w:rFonts w:eastAsia="Times New Roman" w:cs="Arial"/>
          <w:color w:val="FF0000"/>
          <w:lang w:val="ro-RO"/>
        </w:rPr>
      </w:pPr>
    </w:p>
    <w:p w14:paraId="645C3861" w14:textId="77777777" w:rsidR="004305E0" w:rsidRPr="004305E0" w:rsidRDefault="004305E0" w:rsidP="004305E0">
      <w:pPr>
        <w:numPr>
          <w:ilvl w:val="0"/>
          <w:numId w:val="8"/>
        </w:numPr>
        <w:spacing w:before="120"/>
        <w:ind w:left="0" w:firstLine="0"/>
        <w:rPr>
          <w:rFonts w:eastAsia="Times New Roman" w:cs="Arial"/>
          <w:b/>
          <w:bCs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 xml:space="preserve">EVALUAREA INCIDENTELOR DE INTEGRITATE ÎN CADRUL AUTORITĂȚILOR ȘI INSTITUȚIILOR PUBLICE CENTRALE ȘI LOCALE </w:t>
      </w:r>
    </w:p>
    <w:p w14:paraId="40EBD946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Deși, potrivit răspunsului din chestionarul tematic de evaluare, există desemnat un angajat responsabil pentru implementarea metodologiei de evaluare a incidentelor de integritate, nu s-a transmis decizia de desemnare, fiind menționat doar că este un act intern emis de Directorul General. </w:t>
      </w:r>
    </w:p>
    <w:p w14:paraId="32FB2BD2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lastRenderedPageBreak/>
        <w:t xml:space="preserve">Prin Decizia conducerii regiei, înregistrată cu nr. 920/06.12.2022, a fost desemnat consilierul de etică în cadrul aparatului central al regiei naționale a Pădurilor – Romsilva. </w:t>
      </w:r>
    </w:p>
    <w:p w14:paraId="68CCE583" w14:textId="4C9BF901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Experții evaluatori au reținut, de asemenea, că la nivelul Romsilva a fost elaborat </w:t>
      </w:r>
      <w:proofErr w:type="spellStart"/>
      <w:r w:rsidRPr="004305E0">
        <w:rPr>
          <w:rFonts w:eastAsia="Times New Roman" w:cs="Arial"/>
          <w:bCs/>
          <w:lang w:val="ro-RO"/>
        </w:rPr>
        <w:t>şi</w:t>
      </w:r>
      <w:proofErr w:type="spellEnd"/>
      <w:r w:rsidRPr="004305E0">
        <w:rPr>
          <w:rFonts w:eastAsia="Times New Roman" w:cs="Arial"/>
          <w:bCs/>
          <w:lang w:val="ro-RO"/>
        </w:rPr>
        <w:t xml:space="preserve"> publicat pe pagina de internet a instituției</w:t>
      </w:r>
      <w:r w:rsidRPr="004305E0">
        <w:rPr>
          <w:rFonts w:eastAsia="Times New Roman" w:cs="Arial"/>
          <w:bCs/>
          <w:vertAlign w:val="superscript"/>
          <w:lang w:val="ro-RO"/>
        </w:rPr>
        <w:footnoteReference w:id="3"/>
      </w:r>
      <w:r w:rsidRPr="004305E0">
        <w:rPr>
          <w:rFonts w:eastAsia="Times New Roman" w:cs="Arial"/>
          <w:bCs/>
          <w:lang w:val="ro-RO"/>
        </w:rPr>
        <w:t xml:space="preserve"> </w:t>
      </w:r>
      <w:r w:rsidRPr="004305E0">
        <w:rPr>
          <w:rFonts w:eastAsia="Times New Roman" w:cs="Arial"/>
          <w:bCs/>
          <w:i/>
          <w:lang w:val="ro-RO"/>
        </w:rPr>
        <w:t>”Codul de conduită etică și profesională a salariaților Regiei Naționale a Pădurilor-ROMSILVA”</w:t>
      </w:r>
      <w:r w:rsidRPr="004305E0">
        <w:rPr>
          <w:rFonts w:eastAsia="Times New Roman" w:cs="Arial"/>
          <w:bCs/>
          <w:lang w:val="ro-RO"/>
        </w:rPr>
        <w:t xml:space="preserve"> – aprobat prin Hotărârea Consiliului de Administrație nr. 19/15.12.2022, înregistrat la registratura generală sub nr. 14376/22.12.2022. De asemenea, potrivit celor menționate de reprezentanții instituției evaluate, acesta a fost transmis prin intermediul mesageriei electronice salariaților din cadrul aparatului central, precum </w:t>
      </w:r>
      <w:proofErr w:type="spellStart"/>
      <w:r w:rsidRPr="004305E0">
        <w:rPr>
          <w:rFonts w:eastAsia="Times New Roman" w:cs="Arial"/>
          <w:bCs/>
          <w:lang w:val="ro-RO"/>
        </w:rPr>
        <w:t>şi</w:t>
      </w:r>
      <w:proofErr w:type="spellEnd"/>
      <w:r w:rsidRPr="004305E0">
        <w:rPr>
          <w:rFonts w:eastAsia="Times New Roman" w:cs="Arial"/>
          <w:bCs/>
          <w:lang w:val="ro-RO"/>
        </w:rPr>
        <w:t xml:space="preserve"> din cadrul unităților subordonate, la data de 22.12 2022 prin adresa nr. 15114/DN/21.12.2022 a Directorului General al </w:t>
      </w:r>
      <w:r w:rsidR="00682252" w:rsidRPr="004305E0">
        <w:rPr>
          <w:rFonts w:eastAsia="Times New Roman" w:cs="Arial"/>
          <w:bCs/>
          <w:lang w:val="ro-RO"/>
        </w:rPr>
        <w:t>instituției</w:t>
      </w:r>
      <w:r w:rsidRPr="004305E0">
        <w:rPr>
          <w:rFonts w:eastAsia="Times New Roman" w:cs="Arial"/>
          <w:bCs/>
          <w:lang w:val="ro-RO"/>
        </w:rPr>
        <w:t xml:space="preserve">. </w:t>
      </w:r>
      <w:hyperlink r:id="rId9" w:history="1">
        <w:r w:rsidRPr="004305E0">
          <w:rPr>
            <w:rFonts w:eastAsia="Times New Roman" w:cs="Arial"/>
            <w:bCs/>
            <w:color w:val="0000FF"/>
            <w:u w:val="single"/>
            <w:lang w:val="ro-RO"/>
          </w:rPr>
          <w:t>http://www.rosilva.ro/files/content/bucuresti/codetica2022.pdf</w:t>
        </w:r>
      </w:hyperlink>
      <w:r w:rsidRPr="004305E0">
        <w:rPr>
          <w:rFonts w:eastAsia="Times New Roman" w:cs="Arial"/>
          <w:bCs/>
          <w:lang w:val="ro-RO"/>
        </w:rPr>
        <w:t xml:space="preserve"> )</w:t>
      </w:r>
    </w:p>
    <w:p w14:paraId="178DC4B5" w14:textId="77777777" w:rsidR="004305E0" w:rsidRPr="004305E0" w:rsidRDefault="004305E0" w:rsidP="004305E0">
      <w:pPr>
        <w:ind w:left="0"/>
        <w:rPr>
          <w:rFonts w:eastAsia="Times New Roman" w:cs="Arial"/>
          <w:bCs/>
          <w:color w:val="FF0000"/>
          <w:lang w:val="ro-RO"/>
        </w:rPr>
      </w:pPr>
      <w:r w:rsidRPr="004305E0">
        <w:rPr>
          <w:rFonts w:eastAsia="Times New Roman" w:cs="Arial"/>
          <w:bCs/>
          <w:color w:val="000000"/>
          <w:lang w:val="ro-RO"/>
        </w:rPr>
        <w:t xml:space="preserve">În cadrul discuțiilor purtate cu ocazia vizitei de evaluare, experții evaluatori apreciază că nu s-a îndeplinit în mod corespunzător rolul consilierului de etică, respectiv de prevenire a încălcării principiilor </w:t>
      </w:r>
      <w:proofErr w:type="spellStart"/>
      <w:r w:rsidRPr="004305E0">
        <w:rPr>
          <w:rFonts w:eastAsia="Times New Roman" w:cs="Arial"/>
          <w:bCs/>
          <w:color w:val="000000"/>
          <w:lang w:val="ro-RO"/>
        </w:rPr>
        <w:t>şi</w:t>
      </w:r>
      <w:proofErr w:type="spellEnd"/>
      <w:r w:rsidRPr="004305E0">
        <w:rPr>
          <w:rFonts w:eastAsia="Times New Roman" w:cs="Arial"/>
          <w:bCs/>
          <w:color w:val="000000"/>
          <w:lang w:val="ro-RO"/>
        </w:rPr>
        <w:t xml:space="preserve"> normelor de conduită, sens în care nu a procedat la informări periodice a personalului instituției cu privire la normele de etică, modificări ale cadrului normativ în domeniul eticii și integrității și nu a elaborat analize privind cauzele, riscurile și vulnerabilitățile care se manifestă în activitatea funcționarilor publici din cadrul autorității sau instituției publice și care ar putea determina o încălcare a principiilor și normelor de conduită. </w:t>
      </w:r>
      <w:bookmarkStart w:id="5" w:name="_Hlk151624606"/>
    </w:p>
    <w:bookmarkEnd w:id="5"/>
    <w:p w14:paraId="34C01FBB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La nivelul instituției nu există o evidență a sesizărilor incidentelor de integritate, menționându-se că nu au fost primite astfel de sesizări în anul de referință</w:t>
      </w:r>
      <w:r w:rsidRPr="004305E0">
        <w:rPr>
          <w:rFonts w:eastAsia="Calibri"/>
          <w:lang w:val="ro-RO"/>
        </w:rPr>
        <w:t xml:space="preserve"> </w:t>
      </w:r>
      <w:r w:rsidRPr="004305E0">
        <w:rPr>
          <w:rFonts w:eastAsia="Times New Roman" w:cs="Arial"/>
          <w:bCs/>
          <w:lang w:val="ro-RO"/>
        </w:rPr>
        <w:t>de către responsabilul pentru implementarea metodologiei de evaluare a incidentelor de integritate; nu a fost elaborat, aprobat și publicat Raportul anual privind evaluarea incidentelor.</w:t>
      </w:r>
    </w:p>
    <w:p w14:paraId="498E29D1" w14:textId="58729B75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Totuși, la nivelul unităților de structură s-a menționat posibilitatea existenței incidentelor de integritate, însă nu există o situație care să confirme/infirme</w:t>
      </w:r>
      <w:r w:rsidR="00682252">
        <w:rPr>
          <w:rFonts w:eastAsia="Times New Roman" w:cs="Arial"/>
          <w:bCs/>
          <w:lang w:val="ro-RO"/>
        </w:rPr>
        <w:t xml:space="preserve"> acest aspect</w:t>
      </w:r>
      <w:r w:rsidRPr="004305E0">
        <w:rPr>
          <w:rFonts w:eastAsia="Times New Roman" w:cs="Arial"/>
          <w:bCs/>
          <w:lang w:val="ro-RO"/>
        </w:rPr>
        <w:t>.</w:t>
      </w:r>
    </w:p>
    <w:p w14:paraId="6DE70B71" w14:textId="77777777" w:rsidR="004305E0" w:rsidRPr="004305E0" w:rsidRDefault="004305E0" w:rsidP="004305E0">
      <w:pPr>
        <w:ind w:left="0"/>
        <w:rPr>
          <w:rFonts w:eastAsia="Times New Roman" w:cs="Arial"/>
          <w:b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Apreciem față de aspectele constatate necesitatea întocmirii unui registru centralizat, fapt ce va determina o monitorizare constantă cu posibilitatea luării de măsuri imediate, fapt ce va contribui la diminuarea riscurilor ce pot decurge implicit. </w:t>
      </w:r>
    </w:p>
    <w:p w14:paraId="53AEEA0E" w14:textId="77777777" w:rsidR="004305E0" w:rsidRDefault="004305E0" w:rsidP="004305E0">
      <w:pPr>
        <w:ind w:left="0"/>
        <w:rPr>
          <w:rFonts w:eastAsia="Times New Roman" w:cs="Arial"/>
          <w:lang w:val="ro-RO"/>
        </w:rPr>
      </w:pPr>
      <w:r w:rsidRPr="004305E0">
        <w:rPr>
          <w:rFonts w:eastAsia="Times New Roman" w:cs="Arial"/>
          <w:lang w:val="ro-RO"/>
        </w:rPr>
        <w:t>Conform Deciziei nr. 427/20.06.2022, a fost revizuit și aprobat Planul de integritate pentru  implementarea SNA 2021 – 2025, acesta fiind publicat pe site-ul instituției</w:t>
      </w:r>
      <w:r w:rsidRPr="004305E0">
        <w:rPr>
          <w:rFonts w:eastAsia="Times New Roman" w:cs="Arial"/>
          <w:vertAlign w:val="superscript"/>
          <w:lang w:val="ro-RO"/>
        </w:rPr>
        <w:footnoteReference w:id="4"/>
      </w:r>
      <w:r w:rsidRPr="004305E0">
        <w:rPr>
          <w:rFonts w:eastAsia="Times New Roman" w:cs="Arial"/>
          <w:lang w:val="ro-RO"/>
        </w:rPr>
        <w:t>.</w:t>
      </w:r>
    </w:p>
    <w:p w14:paraId="456D36BC" w14:textId="77777777" w:rsidR="00682252" w:rsidRPr="004305E0" w:rsidRDefault="00682252" w:rsidP="004305E0">
      <w:pPr>
        <w:ind w:left="0"/>
        <w:rPr>
          <w:rFonts w:eastAsia="Times New Roman" w:cs="Arial"/>
          <w:lang w:val="ro-RO"/>
        </w:rPr>
      </w:pPr>
    </w:p>
    <w:p w14:paraId="78560C99" w14:textId="77777777" w:rsidR="004305E0" w:rsidRPr="004305E0" w:rsidRDefault="004305E0" w:rsidP="004305E0">
      <w:pPr>
        <w:numPr>
          <w:ilvl w:val="0"/>
          <w:numId w:val="8"/>
        </w:numPr>
        <w:spacing w:before="120"/>
        <w:ind w:left="0" w:firstLine="0"/>
        <w:rPr>
          <w:rFonts w:eastAsia="Times New Roman"/>
          <w:b/>
          <w:bCs/>
          <w:shd w:val="clear" w:color="auto" w:fill="FFFFFF"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>GESTIONAREA MECANISMULUI DE IMPLEMENTARE A SNA DE CĂTRE INSTITUȚIILE PUBLICE (INCLUSIV ÎNTREPRINDERI PUBLICE)</w:t>
      </w:r>
    </w:p>
    <w:p w14:paraId="182E50E8" w14:textId="77777777" w:rsidR="004305E0" w:rsidRPr="004305E0" w:rsidRDefault="004305E0" w:rsidP="004305E0">
      <w:pPr>
        <w:ind w:left="0"/>
        <w:rPr>
          <w:rFonts w:eastAsia="Times New Roman" w:cs="Arial"/>
          <w:lang w:val="ro-RO"/>
        </w:rPr>
      </w:pPr>
      <w:r w:rsidRPr="004305E0">
        <w:rPr>
          <w:rFonts w:eastAsia="Times New Roman" w:cs="Arial"/>
          <w:lang w:val="ro-RO"/>
        </w:rPr>
        <w:t>La nivelul instituției evaluate, nu există o persoană/structură care să se ocupe distinct de implementarea SNA.</w:t>
      </w:r>
    </w:p>
    <w:p w14:paraId="43E2898E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lang w:val="ro-RO"/>
        </w:rPr>
        <w:t xml:space="preserve">Conform răspunsului furnizat în chestionar, grupul desemnat pentru implementarea Planului de integritate și coordonatorul Planului de integritate (desemnați prin aceeași decizie de aprobare a Planului de integritate, și anume Decizia nr. 427/20.06.2022), au și această atribuție. </w:t>
      </w:r>
    </w:p>
    <w:p w14:paraId="64C3EC0B" w14:textId="77777777" w:rsidR="004305E0" w:rsidRPr="004305E0" w:rsidRDefault="004305E0" w:rsidP="004305E0">
      <w:pPr>
        <w:ind w:left="0"/>
        <w:rPr>
          <w:rFonts w:eastAsia="Times New Roman"/>
          <w:bCs/>
          <w:shd w:val="clear" w:color="auto" w:fill="FFFFFF"/>
          <w:lang w:val="ro-RO"/>
        </w:rPr>
      </w:pPr>
      <w:r w:rsidRPr="004305E0">
        <w:rPr>
          <w:rFonts w:eastAsia="Times New Roman"/>
          <w:bCs/>
          <w:shd w:val="clear" w:color="auto" w:fill="FFFFFF"/>
          <w:lang w:val="ro-RO"/>
        </w:rPr>
        <w:lastRenderedPageBreak/>
        <w:t xml:space="preserve">Conform răspunsului din chestionar, problematicii SNA îi sunt alocate suficiente resurse financiare și umane. </w:t>
      </w:r>
    </w:p>
    <w:p w14:paraId="4B434B92" w14:textId="77777777" w:rsidR="004305E0" w:rsidRPr="004305E0" w:rsidRDefault="004305E0" w:rsidP="004305E0">
      <w:pPr>
        <w:ind w:left="0"/>
        <w:rPr>
          <w:rFonts w:eastAsia="Times New Roman"/>
          <w:bCs/>
          <w:shd w:val="clear" w:color="auto" w:fill="FFFFFF"/>
          <w:lang w:val="ro-RO"/>
        </w:rPr>
      </w:pPr>
      <w:r w:rsidRPr="004305E0">
        <w:rPr>
          <w:rFonts w:eastAsia="Times New Roman"/>
          <w:bCs/>
          <w:shd w:val="clear" w:color="auto" w:fill="FFFFFF"/>
          <w:lang w:val="ro-RO"/>
        </w:rPr>
        <w:t xml:space="preserve">Deși a fost întocmit Planul de integritate, la elaborarea acestuia nu au fost avute în vedere riscurile de corupție, fiind utilizate ca sursă documentele din cadrul SCIM. </w:t>
      </w:r>
    </w:p>
    <w:p w14:paraId="6FB6F741" w14:textId="64E6B600" w:rsidR="004305E0" w:rsidRPr="004305E0" w:rsidRDefault="004305E0" w:rsidP="004305E0">
      <w:pPr>
        <w:ind w:left="0"/>
        <w:rPr>
          <w:rFonts w:eastAsia="Times New Roman"/>
          <w:bCs/>
          <w:shd w:val="clear" w:color="auto" w:fill="FFFFFF"/>
          <w:lang w:val="ro-RO"/>
        </w:rPr>
      </w:pPr>
      <w:r w:rsidRPr="004305E0">
        <w:rPr>
          <w:rFonts w:eastAsia="Times New Roman"/>
          <w:bCs/>
          <w:shd w:val="clear" w:color="auto" w:fill="FFFFFF"/>
          <w:lang w:val="ro-RO"/>
        </w:rPr>
        <w:t xml:space="preserve">Promovarea integrității la nivelul instituției a fost gestionată prin consolidarea profesionalismului personalului, prin aplicarea mecanismelor de evaluare a performanțelor, transparentizarea procesului de recrutare </w:t>
      </w:r>
      <w:r w:rsidR="0065632C">
        <w:rPr>
          <w:rFonts w:eastAsia="Times New Roman"/>
          <w:bCs/>
          <w:shd w:val="clear" w:color="auto" w:fill="FFFFFF"/>
          <w:lang w:val="ro-RO"/>
        </w:rPr>
        <w:t>ș</w:t>
      </w:r>
      <w:r w:rsidRPr="004305E0">
        <w:rPr>
          <w:rFonts w:eastAsia="Times New Roman"/>
          <w:bCs/>
          <w:shd w:val="clear" w:color="auto" w:fill="FFFFFF"/>
          <w:lang w:val="ro-RO"/>
        </w:rPr>
        <w:t xml:space="preserve">i asigurarea stabilității personalului pe posturi. </w:t>
      </w:r>
    </w:p>
    <w:p w14:paraId="593862EF" w14:textId="77777777" w:rsidR="004305E0" w:rsidRDefault="004305E0" w:rsidP="004305E0">
      <w:pPr>
        <w:ind w:left="0"/>
        <w:rPr>
          <w:rFonts w:eastAsia="Times New Roman"/>
          <w:bCs/>
          <w:shd w:val="clear" w:color="auto" w:fill="FFFFFF"/>
          <w:lang w:val="ro-RO"/>
        </w:rPr>
      </w:pPr>
      <w:r w:rsidRPr="004305E0">
        <w:rPr>
          <w:rFonts w:eastAsia="Times New Roman"/>
          <w:bCs/>
          <w:shd w:val="clear" w:color="auto" w:fill="FFFFFF"/>
          <w:lang w:val="ro-RO"/>
        </w:rPr>
        <w:t xml:space="preserve">Conform răspunsurilor din cadrul chestionarului și în cadrul vizitei de evaluare, nu există proceduri operaționale/de sistem pentru toate standardele de integritate incluse în Anexa nr. 3.  </w:t>
      </w:r>
    </w:p>
    <w:p w14:paraId="0629B94C" w14:textId="77777777" w:rsidR="00951D44" w:rsidRPr="004305E0" w:rsidRDefault="00951D44" w:rsidP="004305E0">
      <w:pPr>
        <w:ind w:left="0"/>
        <w:rPr>
          <w:rFonts w:eastAsia="Times New Roman"/>
          <w:bCs/>
          <w:shd w:val="clear" w:color="auto" w:fill="FFFFFF"/>
          <w:lang w:val="ro-RO"/>
        </w:rPr>
      </w:pPr>
    </w:p>
    <w:p w14:paraId="6338616F" w14:textId="77777777" w:rsidR="004305E0" w:rsidRPr="004305E0" w:rsidRDefault="004305E0" w:rsidP="00430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Times New Roman" w:cs="Arial"/>
          <w:b/>
          <w:lang w:val="ro-RO"/>
        </w:rPr>
      </w:pPr>
      <w:r w:rsidRPr="004305E0">
        <w:rPr>
          <w:rFonts w:eastAsia="Times New Roman" w:cs="Arial"/>
          <w:b/>
          <w:lang w:val="ro-RO"/>
        </w:rPr>
        <w:t xml:space="preserve">III. BUNE PRACTICI </w:t>
      </w:r>
    </w:p>
    <w:p w14:paraId="04FECDC6" w14:textId="77777777" w:rsidR="004305E0" w:rsidRPr="004305E0" w:rsidRDefault="004305E0" w:rsidP="004305E0">
      <w:pPr>
        <w:numPr>
          <w:ilvl w:val="0"/>
          <w:numId w:val="35"/>
        </w:numPr>
        <w:spacing w:before="120"/>
        <w:ind w:left="0" w:firstLine="0"/>
        <w:rPr>
          <w:rFonts w:eastAsia="Calibri"/>
          <w:b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>EVALUAREA</w:t>
      </w:r>
      <w:r w:rsidRPr="004305E0">
        <w:rPr>
          <w:rFonts w:eastAsia="Calibri"/>
          <w:b/>
          <w:lang w:val="ro-RO"/>
        </w:rPr>
        <w:t xml:space="preserve"> RISCURILOR DE CORUPȚIE ÎN CADRUL AUTORITĂȚILOR ȘI INSTITUȚIILOR PUBLICE CENTRALE ȘI LOCALE</w:t>
      </w:r>
    </w:p>
    <w:p w14:paraId="3E28CE5E" w14:textId="77777777" w:rsidR="004305E0" w:rsidRPr="004305E0" w:rsidRDefault="004305E0" w:rsidP="004305E0">
      <w:pPr>
        <w:ind w:left="0"/>
        <w:rPr>
          <w:rFonts w:eastAsia="Calibri"/>
          <w:lang w:val="ro-RO"/>
        </w:rPr>
      </w:pPr>
      <w:r w:rsidRPr="004305E0">
        <w:rPr>
          <w:rFonts w:eastAsia="Calibri"/>
          <w:lang w:val="ro-RO"/>
        </w:rPr>
        <w:t>Nu au fost identificate.</w:t>
      </w:r>
    </w:p>
    <w:p w14:paraId="3E81B0C8" w14:textId="77777777" w:rsidR="004305E0" w:rsidRPr="004305E0" w:rsidRDefault="004305E0" w:rsidP="004305E0">
      <w:pPr>
        <w:numPr>
          <w:ilvl w:val="0"/>
          <w:numId w:val="35"/>
        </w:numPr>
        <w:spacing w:before="120"/>
        <w:ind w:left="0" w:firstLine="0"/>
        <w:rPr>
          <w:rFonts w:eastAsia="Times New Roman"/>
          <w:b/>
          <w:bCs/>
          <w:shd w:val="clear" w:color="auto" w:fill="FFFFFF"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>EVALUAREA</w:t>
      </w:r>
      <w:r w:rsidRPr="004305E0">
        <w:rPr>
          <w:rFonts w:eastAsia="Calibri"/>
          <w:b/>
          <w:bCs/>
          <w:szCs w:val="24"/>
          <w:lang w:val="ro-RO"/>
        </w:rPr>
        <w:t xml:space="preserve"> INCIDENTELOR DE INTEGRITATE ÎN CADRUL AUTORITĂȚILOR ȘI INSTITUȚIILOR PUBLICE CENTRALE ȘI LOCALE </w:t>
      </w:r>
    </w:p>
    <w:p w14:paraId="1067D12F" w14:textId="77777777" w:rsidR="004305E0" w:rsidRP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Nu </w:t>
      </w:r>
      <w:r w:rsidRPr="004305E0">
        <w:rPr>
          <w:rFonts w:eastAsia="Calibri"/>
          <w:lang w:val="ro-RO"/>
        </w:rPr>
        <w:t>au</w:t>
      </w:r>
      <w:r w:rsidRPr="004305E0">
        <w:rPr>
          <w:rFonts w:eastAsia="Times New Roman" w:cs="Arial"/>
          <w:bCs/>
          <w:lang w:val="ro-RO"/>
        </w:rPr>
        <w:t xml:space="preserve"> fost identificate.</w:t>
      </w:r>
    </w:p>
    <w:p w14:paraId="79D0BA75" w14:textId="77777777" w:rsidR="004305E0" w:rsidRPr="004305E0" w:rsidRDefault="004305E0" w:rsidP="004305E0">
      <w:pPr>
        <w:numPr>
          <w:ilvl w:val="0"/>
          <w:numId w:val="35"/>
        </w:numPr>
        <w:spacing w:before="120"/>
        <w:ind w:left="0" w:firstLine="0"/>
        <w:rPr>
          <w:rFonts w:eastAsia="Times New Roman"/>
          <w:b/>
          <w:bCs/>
          <w:shd w:val="clear" w:color="auto" w:fill="FFFFFF"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>G</w:t>
      </w:r>
      <w:r w:rsidRPr="004305E0">
        <w:rPr>
          <w:rFonts w:eastAsia="Calibri" w:cs="Arial"/>
          <w:b/>
          <w:bCs/>
          <w:szCs w:val="24"/>
          <w:lang w:val="ro-RO"/>
        </w:rPr>
        <w:t>ESTIONAREA</w:t>
      </w:r>
      <w:r w:rsidRPr="004305E0">
        <w:rPr>
          <w:rFonts w:eastAsia="Calibri"/>
          <w:b/>
          <w:bCs/>
          <w:szCs w:val="24"/>
          <w:lang w:val="ro-RO"/>
        </w:rPr>
        <w:t xml:space="preserve"> MECANISMULUI DE IMPLEMENTARE A SNA DE CĂTRE INSTITUȚIILE PUBLICE (INCLUSIV ÎNTREPRINDERI PUBLICE) </w:t>
      </w:r>
    </w:p>
    <w:p w14:paraId="578E1828" w14:textId="77777777" w:rsidR="004305E0" w:rsidRDefault="004305E0" w:rsidP="004305E0">
      <w:pPr>
        <w:ind w:left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Nu au fost identificate.</w:t>
      </w:r>
    </w:p>
    <w:p w14:paraId="7D717852" w14:textId="77777777" w:rsidR="00951D44" w:rsidRDefault="00951D44" w:rsidP="004305E0">
      <w:pPr>
        <w:ind w:left="0"/>
        <w:rPr>
          <w:rFonts w:eastAsia="Times New Roman" w:cs="Arial"/>
          <w:bCs/>
          <w:lang w:val="ro-RO"/>
        </w:rPr>
      </w:pPr>
    </w:p>
    <w:p w14:paraId="0141A7E7" w14:textId="77777777" w:rsidR="004305E0" w:rsidRPr="004305E0" w:rsidRDefault="004305E0" w:rsidP="00430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eastAsia="Times New Roman" w:cs="Arial"/>
          <w:b/>
          <w:lang w:val="ro-RO"/>
        </w:rPr>
      </w:pPr>
      <w:r w:rsidRPr="004305E0">
        <w:rPr>
          <w:rFonts w:eastAsia="Times New Roman" w:cs="Arial"/>
          <w:b/>
          <w:lang w:val="ro-RO"/>
        </w:rPr>
        <w:t xml:space="preserve">IV. CONCLUZII ȘI RECOMANDĂRI </w:t>
      </w:r>
    </w:p>
    <w:p w14:paraId="4ED2F593" w14:textId="77777777" w:rsidR="004305E0" w:rsidRPr="004305E0" w:rsidRDefault="004305E0" w:rsidP="004305E0">
      <w:pPr>
        <w:numPr>
          <w:ilvl w:val="0"/>
          <w:numId w:val="36"/>
        </w:numPr>
        <w:spacing w:before="120"/>
        <w:ind w:left="0" w:firstLine="0"/>
        <w:rPr>
          <w:rFonts w:eastAsia="Times New Roman" w:cs="Arial"/>
          <w:b/>
          <w:bCs/>
          <w:lang w:val="ro-RO"/>
        </w:rPr>
      </w:pPr>
      <w:r w:rsidRPr="004305E0">
        <w:rPr>
          <w:rFonts w:eastAsia="Times New Roman" w:cs="Arial"/>
          <w:b/>
          <w:bCs/>
          <w:lang w:val="ro-RO"/>
        </w:rPr>
        <w:t xml:space="preserve">EVALUAREA RISCURILOR DE CORUPȚIE ÎN CADRUL AUTORITĂȚILOR ȘI INSTITUȚIILOR PUBLICE CENTRALE ȘI LOCALE </w:t>
      </w:r>
    </w:p>
    <w:p w14:paraId="0E23EC23" w14:textId="77777777" w:rsidR="004305E0" w:rsidRPr="004305E0" w:rsidRDefault="004305E0" w:rsidP="004305E0">
      <w:pPr>
        <w:numPr>
          <w:ilvl w:val="0"/>
          <w:numId w:val="40"/>
        </w:numPr>
        <w:spacing w:before="120"/>
        <w:ind w:left="0" w:firstLine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 xml:space="preserve">Identificarea riscurilor de corupție conform art. 11 din Metodologia standard de evaluare a riscurilor de corupție în cadrul autorităților și instituțiilor publice centrale, nefiind întocmit Registrul riscurilor de corupție; </w:t>
      </w:r>
      <w:bookmarkStart w:id="6" w:name="_Hlk151624893"/>
    </w:p>
    <w:bookmarkEnd w:id="6"/>
    <w:p w14:paraId="1326B097" w14:textId="77777777" w:rsidR="004305E0" w:rsidRPr="004305E0" w:rsidRDefault="004305E0" w:rsidP="004305E0">
      <w:pPr>
        <w:numPr>
          <w:ilvl w:val="0"/>
          <w:numId w:val="40"/>
        </w:numPr>
        <w:spacing w:before="120"/>
        <w:ind w:left="0" w:firstLine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Întocmirea Registrului riscurilor de corupție;</w:t>
      </w:r>
    </w:p>
    <w:p w14:paraId="4E515B55" w14:textId="77777777" w:rsidR="004305E0" w:rsidRDefault="004305E0" w:rsidP="004305E0">
      <w:pPr>
        <w:numPr>
          <w:ilvl w:val="0"/>
          <w:numId w:val="40"/>
        </w:numPr>
        <w:spacing w:before="120"/>
        <w:ind w:left="0" w:firstLine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Revizuirea Planului de integritate, raportat la Registrul riscurilor de corupție.</w:t>
      </w:r>
    </w:p>
    <w:p w14:paraId="3FD89E93" w14:textId="77777777" w:rsidR="00951D44" w:rsidRPr="004305E0" w:rsidRDefault="00951D44" w:rsidP="00951D44">
      <w:pPr>
        <w:spacing w:before="120"/>
        <w:ind w:left="0"/>
        <w:rPr>
          <w:rFonts w:eastAsia="Times New Roman" w:cs="Arial"/>
          <w:bCs/>
          <w:lang w:val="ro-RO"/>
        </w:rPr>
      </w:pPr>
    </w:p>
    <w:p w14:paraId="2229BADA" w14:textId="77777777" w:rsidR="004305E0" w:rsidRPr="004305E0" w:rsidRDefault="004305E0" w:rsidP="004305E0">
      <w:pPr>
        <w:numPr>
          <w:ilvl w:val="0"/>
          <w:numId w:val="36"/>
        </w:numPr>
        <w:spacing w:before="120"/>
        <w:ind w:left="0" w:firstLine="0"/>
        <w:rPr>
          <w:rFonts w:eastAsia="Times New Roman"/>
          <w:b/>
          <w:bCs/>
          <w:shd w:val="clear" w:color="auto" w:fill="FFFFFF"/>
          <w:lang w:val="ro-RO"/>
        </w:rPr>
      </w:pPr>
      <w:bookmarkStart w:id="7" w:name="_Hlk151624945"/>
      <w:r w:rsidRPr="004305E0">
        <w:rPr>
          <w:rFonts w:eastAsia="Times New Roman" w:cs="Arial"/>
          <w:b/>
          <w:bCs/>
          <w:lang w:val="ro-RO"/>
        </w:rPr>
        <w:t xml:space="preserve">EVALUAREA INCIDENTELOR DE INTEGRITATE ÎN CADRUL AUTORITĂȚILOR ȘI INSTITUȚIILOR PUBLICE CENTRALE ȘI LOCALE </w:t>
      </w:r>
    </w:p>
    <w:bookmarkEnd w:id="7"/>
    <w:p w14:paraId="35F1F10C" w14:textId="77777777" w:rsidR="004305E0" w:rsidRPr="004305E0" w:rsidRDefault="004305E0" w:rsidP="004305E0">
      <w:pPr>
        <w:numPr>
          <w:ilvl w:val="0"/>
          <w:numId w:val="41"/>
        </w:numPr>
        <w:spacing w:before="120"/>
        <w:ind w:left="0" w:firstLine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Elaborarea unei proceduri de lucru referitoare la activitățile și acțiunile de comunicare internă și externă cu privire la evidența și gestionarea incidentelor de integritate, inclusiv de la nivelul unităților teritoriale;</w:t>
      </w:r>
    </w:p>
    <w:p w14:paraId="1DB92783" w14:textId="77777777" w:rsidR="004305E0" w:rsidRPr="004305E0" w:rsidRDefault="004305E0" w:rsidP="004305E0">
      <w:pPr>
        <w:numPr>
          <w:ilvl w:val="0"/>
          <w:numId w:val="41"/>
        </w:numPr>
        <w:spacing w:before="120"/>
        <w:ind w:left="0" w:firstLine="0"/>
        <w:rPr>
          <w:rFonts w:eastAsia="Times New Roman" w:cs="Arial"/>
          <w:bCs/>
          <w:lang w:val="ro-RO"/>
        </w:rPr>
      </w:pPr>
      <w:r w:rsidRPr="004305E0">
        <w:rPr>
          <w:rFonts w:eastAsia="Times New Roman" w:cs="Arial"/>
          <w:bCs/>
          <w:lang w:val="ro-RO"/>
        </w:rPr>
        <w:t>Întocmirea unui registru centralizat privind incidentele de integritate produse la nivelul întregii institu</w:t>
      </w:r>
      <w:r w:rsidRPr="004305E0">
        <w:rPr>
          <w:shd w:val="clear" w:color="auto" w:fill="FFFFFF"/>
          <w:lang w:val="ro-RO"/>
        </w:rPr>
        <w:t>ț</w:t>
      </w:r>
      <w:r w:rsidRPr="004305E0">
        <w:rPr>
          <w:rFonts w:eastAsia="Times New Roman" w:cs="Arial"/>
          <w:bCs/>
          <w:lang w:val="ro-RO"/>
        </w:rPr>
        <w:t>ii, inclusiv la nivelul structurilor teritoriale;</w:t>
      </w:r>
    </w:p>
    <w:p w14:paraId="632D915F" w14:textId="77777777" w:rsidR="004305E0" w:rsidRPr="004305E0" w:rsidRDefault="004305E0" w:rsidP="004305E0">
      <w:pPr>
        <w:numPr>
          <w:ilvl w:val="0"/>
          <w:numId w:val="41"/>
        </w:numPr>
        <w:spacing w:before="120"/>
        <w:ind w:left="0" w:firstLine="0"/>
        <w:rPr>
          <w:rFonts w:eastAsia="Times New Roman"/>
          <w:bCs/>
          <w:shd w:val="clear" w:color="auto" w:fill="FFFFFF"/>
          <w:lang w:val="ro-RO"/>
        </w:rPr>
      </w:pPr>
      <w:r w:rsidRPr="004305E0">
        <w:rPr>
          <w:rFonts w:eastAsia="Times New Roman"/>
          <w:bCs/>
          <w:shd w:val="clear" w:color="auto" w:fill="FFFFFF"/>
          <w:lang w:val="ro-RO"/>
        </w:rPr>
        <w:lastRenderedPageBreak/>
        <w:t>Asigurarea cadrului necesar ca persoanele responsabile cu implementarea/ monitorizarea incidentelor de integritate să participe la programe de pregătire profesională corespunzătoare;</w:t>
      </w:r>
    </w:p>
    <w:p w14:paraId="662EDFF9" w14:textId="77777777" w:rsidR="004305E0" w:rsidRPr="00951D44" w:rsidRDefault="004305E0" w:rsidP="004305E0">
      <w:pPr>
        <w:numPr>
          <w:ilvl w:val="0"/>
          <w:numId w:val="41"/>
        </w:numPr>
        <w:spacing w:before="120"/>
        <w:ind w:left="0" w:firstLine="0"/>
        <w:rPr>
          <w:rFonts w:eastAsia="Times New Roman"/>
          <w:bCs/>
          <w:shd w:val="clear" w:color="auto" w:fill="FFFFFF"/>
          <w:lang w:val="ro-RO"/>
        </w:rPr>
      </w:pPr>
      <w:r w:rsidRPr="004305E0">
        <w:rPr>
          <w:rFonts w:eastAsia="Times New Roman"/>
          <w:bCs/>
          <w:shd w:val="clear" w:color="auto" w:fill="FFFFFF"/>
          <w:lang w:val="ro-RO"/>
        </w:rPr>
        <w:t xml:space="preserve">Elaborarea </w:t>
      </w:r>
      <w:r w:rsidRPr="004305E0">
        <w:rPr>
          <w:rFonts w:eastAsia="Times New Roman" w:cs="Arial"/>
          <w:bCs/>
          <w:lang w:val="ro-RO"/>
        </w:rPr>
        <w:t>Raportului anual privind evaluarea incidentelor, potrivit Metodologiei standard cuprinsă în HG 599/2018.</w:t>
      </w:r>
    </w:p>
    <w:p w14:paraId="7F16F035" w14:textId="77777777" w:rsidR="00951D44" w:rsidRPr="004305E0" w:rsidRDefault="00951D44" w:rsidP="00951D44">
      <w:pPr>
        <w:spacing w:before="120"/>
        <w:ind w:left="0"/>
        <w:rPr>
          <w:rFonts w:eastAsia="Times New Roman"/>
          <w:bCs/>
          <w:shd w:val="clear" w:color="auto" w:fill="FFFFFF"/>
          <w:lang w:val="ro-RO"/>
        </w:rPr>
      </w:pPr>
    </w:p>
    <w:p w14:paraId="2F5333F7" w14:textId="77777777" w:rsidR="004305E0" w:rsidRPr="004305E0" w:rsidRDefault="004305E0" w:rsidP="004305E0">
      <w:pPr>
        <w:numPr>
          <w:ilvl w:val="0"/>
          <w:numId w:val="36"/>
        </w:numPr>
        <w:spacing w:before="120"/>
        <w:ind w:left="0" w:firstLine="0"/>
        <w:rPr>
          <w:rFonts w:eastAsia="Times New Roman"/>
          <w:b/>
          <w:bCs/>
          <w:shd w:val="clear" w:color="auto" w:fill="FFFFFF"/>
          <w:lang w:val="ro-RO"/>
        </w:rPr>
      </w:pPr>
      <w:bookmarkStart w:id="8" w:name="_Hlk151625120"/>
      <w:r w:rsidRPr="004305E0">
        <w:rPr>
          <w:rFonts w:eastAsia="Times New Roman" w:cs="Arial"/>
          <w:b/>
          <w:bCs/>
          <w:lang w:val="ro-RO"/>
        </w:rPr>
        <w:t>G</w:t>
      </w:r>
      <w:r w:rsidRPr="004305E0">
        <w:rPr>
          <w:rFonts w:eastAsia="Calibri" w:cs="Arial"/>
          <w:b/>
          <w:bCs/>
          <w:szCs w:val="24"/>
          <w:lang w:val="ro-RO"/>
        </w:rPr>
        <w:t>ESTIONAREA</w:t>
      </w:r>
      <w:r w:rsidRPr="004305E0">
        <w:rPr>
          <w:rFonts w:eastAsia="Calibri"/>
          <w:b/>
          <w:bCs/>
          <w:szCs w:val="24"/>
          <w:lang w:val="ro-RO"/>
        </w:rPr>
        <w:t xml:space="preserve"> MECANISMULUI DE IMPLEMENTARE A SNA DE CĂTRE INSTITUȚIILE PUBLICE (INCLUSIV ÎNTREPRINDERI PUBLICE)</w:t>
      </w:r>
    </w:p>
    <w:bookmarkEnd w:id="8"/>
    <w:p w14:paraId="25FD62C6" w14:textId="77777777" w:rsidR="004305E0" w:rsidRPr="004305E0" w:rsidRDefault="004305E0" w:rsidP="004305E0">
      <w:pPr>
        <w:numPr>
          <w:ilvl w:val="0"/>
          <w:numId w:val="42"/>
        </w:numPr>
        <w:spacing w:before="120"/>
        <w:ind w:left="0" w:firstLine="0"/>
        <w:rPr>
          <w:shd w:val="clear" w:color="auto" w:fill="FFFFFF"/>
          <w:lang w:val="ro-RO"/>
        </w:rPr>
      </w:pPr>
      <w:r w:rsidRPr="004305E0">
        <w:rPr>
          <w:shd w:val="clear" w:color="auto" w:fill="FFFFFF"/>
          <w:lang w:val="ro-RO"/>
        </w:rPr>
        <w:t>Asigurarea pregătirii profesionale pe teme de integritate cuprinse în Anexa 3 a Strategiei Naționale Anticorupție a angajaților, inclusiv de la nivelul structurilor teritoriale,</w:t>
      </w:r>
      <w:r w:rsidRPr="004305E0">
        <w:rPr>
          <w:rFonts w:eastAsia="Calibri"/>
          <w:szCs w:val="24"/>
          <w:lang w:val="ro-RO"/>
        </w:rPr>
        <w:t xml:space="preserve"> </w:t>
      </w:r>
      <w:r w:rsidRPr="004305E0">
        <w:rPr>
          <w:shd w:val="clear" w:color="auto" w:fill="FFFFFF"/>
          <w:lang w:val="ro-RO"/>
        </w:rPr>
        <w:t>prin invitarea unor specialiști în domeniu sau prin solicitarea de sprijin, dacă se apreciază necesar, din partea ANI, MAI-DGA și/sau MJ;</w:t>
      </w:r>
    </w:p>
    <w:p w14:paraId="04C309D2" w14:textId="2D36E37E" w:rsidR="004305E0" w:rsidRPr="004305E0" w:rsidRDefault="004305E0" w:rsidP="004305E0">
      <w:pPr>
        <w:numPr>
          <w:ilvl w:val="0"/>
          <w:numId w:val="42"/>
        </w:numPr>
        <w:spacing w:before="120"/>
        <w:ind w:left="0" w:firstLine="0"/>
        <w:rPr>
          <w:shd w:val="clear" w:color="auto" w:fill="FFFFFF"/>
          <w:lang w:val="ro-RO"/>
        </w:rPr>
      </w:pPr>
      <w:r w:rsidRPr="004305E0">
        <w:rPr>
          <w:shd w:val="clear" w:color="auto" w:fill="FFFFFF"/>
          <w:lang w:val="ro-RO"/>
        </w:rPr>
        <w:t xml:space="preserve">Desemnarea prin decizie a conducătorului instituției a persoanelor responsabile cu privire la implementarea standardelor de integritate (consilier de etică și integritate, persoană/departament responsabil cu implementarea/monitorizarea SNA) </w:t>
      </w:r>
      <w:r w:rsidR="00941B3F">
        <w:rPr>
          <w:shd w:val="clear" w:color="auto" w:fill="FFFFFF"/>
          <w:lang w:val="ro-RO"/>
        </w:rPr>
        <w:t>ș</w:t>
      </w:r>
      <w:r w:rsidRPr="004305E0">
        <w:rPr>
          <w:shd w:val="clear" w:color="auto" w:fill="FFFFFF"/>
          <w:lang w:val="ro-RO"/>
        </w:rPr>
        <w:t>i introducerea în fișa postului a atribuțiilor necesare pentru asigurarea implementării prevederilor legale privind procedurile pentru care au fost desemnate;</w:t>
      </w:r>
    </w:p>
    <w:p w14:paraId="495C6021" w14:textId="00C684DA" w:rsidR="004305E0" w:rsidRPr="004305E0" w:rsidRDefault="004305E0" w:rsidP="004305E0">
      <w:pPr>
        <w:numPr>
          <w:ilvl w:val="0"/>
          <w:numId w:val="42"/>
        </w:numPr>
        <w:spacing w:before="120"/>
        <w:ind w:left="0" w:firstLine="0"/>
        <w:rPr>
          <w:color w:val="FF0000"/>
          <w:shd w:val="clear" w:color="auto" w:fill="FFFFFF"/>
          <w:lang w:val="ro-RO"/>
        </w:rPr>
      </w:pPr>
      <w:r w:rsidRPr="004305E0">
        <w:rPr>
          <w:shd w:val="clear" w:color="auto" w:fill="FFFFFF"/>
          <w:lang w:val="ro-RO"/>
        </w:rPr>
        <w:t>Elaborarea de proceduri privind protecția avertizorilor în interes public și identificarea și gestionarea funcțiil</w:t>
      </w:r>
      <w:r w:rsidR="0071577C">
        <w:rPr>
          <w:shd w:val="clear" w:color="auto" w:fill="FFFFFF"/>
          <w:lang w:val="ro-RO"/>
        </w:rPr>
        <w:t>or</w:t>
      </w:r>
      <w:r w:rsidRPr="004305E0">
        <w:rPr>
          <w:shd w:val="clear" w:color="auto" w:fill="FFFFFF"/>
          <w:lang w:val="ro-RO"/>
        </w:rPr>
        <w:t xml:space="preserve"> sensibile</w:t>
      </w:r>
      <w:bookmarkStart w:id="9" w:name="_Hlk151625363"/>
      <w:r w:rsidRPr="004305E0">
        <w:rPr>
          <w:shd w:val="clear" w:color="auto" w:fill="FFFFFF"/>
          <w:lang w:val="ro-RO"/>
        </w:rPr>
        <w:t>.</w:t>
      </w:r>
    </w:p>
    <w:bookmarkEnd w:id="9"/>
    <w:p w14:paraId="77E0BD95" w14:textId="77777777" w:rsidR="004305E0" w:rsidRPr="004305E0" w:rsidRDefault="004305E0" w:rsidP="004305E0">
      <w:pPr>
        <w:ind w:left="0"/>
        <w:rPr>
          <w:rFonts w:eastAsia="Times New Roman" w:cs="Arial"/>
          <w:b/>
          <w:lang w:val="ro-RO"/>
        </w:rPr>
      </w:pPr>
    </w:p>
    <w:p w14:paraId="1C08C572" w14:textId="77777777" w:rsidR="00FF554B" w:rsidRPr="004305E0" w:rsidRDefault="00FF554B" w:rsidP="004305E0"/>
    <w:sectPr w:rsidR="00FF554B" w:rsidRPr="004305E0" w:rsidSect="000C4BB3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418" w:right="567" w:bottom="1418" w:left="2268" w:header="567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0C42" w14:textId="77777777" w:rsidR="00C14688" w:rsidRDefault="00C14688" w:rsidP="00CD5B3B">
      <w:r>
        <w:separator/>
      </w:r>
    </w:p>
  </w:endnote>
  <w:endnote w:type="continuationSeparator" w:id="0">
    <w:p w14:paraId="1E303476" w14:textId="77777777" w:rsidR="00C14688" w:rsidRDefault="00C14688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701" w:type="dxa"/>
      <w:tblLook w:val="04A0" w:firstRow="1" w:lastRow="0" w:firstColumn="1" w:lastColumn="0" w:noHBand="0" w:noVBand="1"/>
    </w:tblPr>
    <w:tblGrid>
      <w:gridCol w:w="495"/>
      <w:gridCol w:w="9276"/>
      <w:gridCol w:w="995"/>
    </w:tblGrid>
    <w:tr w:rsidR="00036CF6" w:rsidRPr="002C0E14" w14:paraId="09FD201A" w14:textId="77777777" w:rsidTr="008C59B4">
      <w:tc>
        <w:tcPr>
          <w:tcW w:w="1566" w:type="dxa"/>
          <w:shd w:val="clear" w:color="auto" w:fill="auto"/>
        </w:tcPr>
        <w:p w14:paraId="66757F39" w14:textId="77777777" w:rsidR="00036CF6" w:rsidRPr="00036CF6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left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es-ES" w:eastAsia="ro-RO"/>
            </w:rPr>
          </w:pPr>
        </w:p>
      </w:tc>
      <w:tc>
        <w:tcPr>
          <w:tcW w:w="5986" w:type="dxa"/>
          <w:tcBorders>
            <w:left w:val="nil"/>
          </w:tcBorders>
          <w:shd w:val="clear" w:color="auto" w:fill="auto"/>
        </w:tcPr>
        <w:p w14:paraId="26D955B0" w14:textId="717E90A4" w:rsidR="00036CF6" w:rsidRPr="00036CF6" w:rsidRDefault="00CD7F9B" w:rsidP="00036CF6">
          <w:pPr>
            <w:tabs>
              <w:tab w:val="center" w:pos="4320"/>
              <w:tab w:val="right" w:pos="8640"/>
            </w:tabs>
            <w:spacing w:after="0"/>
            <w:ind w:left="0"/>
            <w:rPr>
              <w:rFonts w:ascii="Arial" w:eastAsia="Times New Roman" w:hAnsi="Arial" w:cs="Arial"/>
              <w:b/>
              <w:color w:val="003366"/>
              <w:sz w:val="16"/>
              <w:szCs w:val="16"/>
              <w:lang w:val="ro-RO" w:eastAsia="ro-RO"/>
            </w:rPr>
          </w:pPr>
          <w:r w:rsidRPr="00CD7F9B">
            <w:rPr>
              <w:rFonts w:ascii="Arial" w:eastAsia="Times New Roman" w:hAnsi="Arial" w:cs="Arial"/>
              <w:b/>
              <w:noProof/>
              <w:color w:val="003366"/>
              <w:sz w:val="16"/>
              <w:szCs w:val="16"/>
              <w:lang w:val="ro-RO" w:eastAsia="ro-RO"/>
            </w:rPr>
            <w:drawing>
              <wp:inline distT="0" distB="0" distL="0" distR="0" wp14:anchorId="6C34F6DC" wp14:editId="3348234A">
                <wp:extent cx="5753100" cy="495300"/>
                <wp:effectExtent l="0" t="0" r="0" b="0"/>
                <wp:docPr id="1398641958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1" w:type="dxa"/>
          <w:shd w:val="clear" w:color="auto" w:fill="auto"/>
          <w:vAlign w:val="center"/>
        </w:tcPr>
        <w:p w14:paraId="7AB91A8C" w14:textId="24831722" w:rsidR="00036CF6" w:rsidRPr="00B66E1D" w:rsidRDefault="00036CF6" w:rsidP="00CD7F9B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rPr>
              <w:sz w:val="14"/>
              <w:szCs w:val="14"/>
              <w:lang w:val="es-ES"/>
            </w:rPr>
          </w:pPr>
          <w:r w:rsidRPr="00B66E1D">
            <w:rPr>
              <w:sz w:val="14"/>
              <w:szCs w:val="14"/>
              <w:lang w:val="es-ES"/>
            </w:rPr>
            <w:t>Pag</w:t>
          </w:r>
          <w:r w:rsidR="001D28BD">
            <w:rPr>
              <w:sz w:val="14"/>
              <w:szCs w:val="14"/>
              <w:lang w:val="es-ES"/>
            </w:rPr>
            <w:t>.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PAGE </w:instrText>
          </w:r>
          <w:r w:rsidRPr="00036CF6">
            <w:rPr>
              <w:sz w:val="14"/>
              <w:szCs w:val="14"/>
            </w:rPr>
            <w:fldChar w:fldCharType="separate"/>
          </w:r>
          <w:r w:rsidR="002D19CA">
            <w:rPr>
              <w:noProof/>
              <w:sz w:val="14"/>
              <w:szCs w:val="14"/>
              <w:lang w:val="es-ES"/>
            </w:rPr>
            <w:t>2</w:t>
          </w:r>
          <w:r w:rsidRPr="00036CF6">
            <w:rPr>
              <w:sz w:val="14"/>
              <w:szCs w:val="14"/>
            </w:rPr>
            <w:fldChar w:fldCharType="end"/>
          </w:r>
          <w:r w:rsidRPr="00B66E1D">
            <w:rPr>
              <w:sz w:val="14"/>
              <w:szCs w:val="14"/>
              <w:lang w:val="es-ES"/>
            </w:rPr>
            <w:t xml:space="preserve"> din </w:t>
          </w:r>
          <w:r w:rsidRPr="00036CF6">
            <w:rPr>
              <w:sz w:val="14"/>
              <w:szCs w:val="14"/>
            </w:rPr>
            <w:fldChar w:fldCharType="begin"/>
          </w:r>
          <w:r w:rsidRPr="00B66E1D">
            <w:rPr>
              <w:sz w:val="14"/>
              <w:szCs w:val="14"/>
              <w:lang w:val="es-ES"/>
            </w:rPr>
            <w:instrText xml:space="preserve"> SECTIONPAGES   \* MERGEFORMAT </w:instrText>
          </w:r>
          <w:r w:rsidRPr="00036CF6">
            <w:rPr>
              <w:sz w:val="14"/>
              <w:szCs w:val="14"/>
            </w:rPr>
            <w:fldChar w:fldCharType="separate"/>
          </w:r>
          <w:r w:rsidR="003E2406">
            <w:rPr>
              <w:noProof/>
              <w:sz w:val="14"/>
              <w:szCs w:val="14"/>
              <w:lang w:val="es-ES"/>
            </w:rPr>
            <w:t>7</w:t>
          </w:r>
          <w:r w:rsidRPr="00036CF6">
            <w:rPr>
              <w:sz w:val="14"/>
              <w:szCs w:val="14"/>
            </w:rPr>
            <w:fldChar w:fldCharType="end"/>
          </w:r>
        </w:p>
        <w:p w14:paraId="2A3C765B" w14:textId="77777777" w:rsidR="00036CF6" w:rsidRPr="00B66E1D" w:rsidRDefault="00036CF6" w:rsidP="00036CF6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sz w:val="14"/>
              <w:szCs w:val="14"/>
              <w:lang w:val="es-ES"/>
            </w:rPr>
          </w:pPr>
        </w:p>
        <w:p w14:paraId="34D928C0" w14:textId="77777777" w:rsidR="00036CF6" w:rsidRPr="00036CF6" w:rsidRDefault="00036CF6" w:rsidP="00CD7F9B">
          <w:pPr>
            <w:tabs>
              <w:tab w:val="center" w:pos="4536"/>
              <w:tab w:val="right" w:pos="9072"/>
            </w:tabs>
            <w:spacing w:after="0" w:line="240" w:lineRule="auto"/>
            <w:ind w:left="0"/>
            <w:jc w:val="right"/>
            <w:rPr>
              <w:rFonts w:ascii="Arial" w:eastAsia="Times New Roman" w:hAnsi="Arial" w:cs="Arial"/>
              <w:b/>
              <w:sz w:val="16"/>
              <w:szCs w:val="16"/>
              <w:lang w:val="ro-RO" w:eastAsia="ro-RO"/>
            </w:rPr>
          </w:pPr>
        </w:p>
      </w:tc>
    </w:tr>
  </w:tbl>
  <w:p w14:paraId="4EC52A76" w14:textId="77777777" w:rsidR="00E80D5E" w:rsidRPr="007E7D11" w:rsidRDefault="00E80D5E" w:rsidP="00E80D5E">
    <w:pPr>
      <w:pStyle w:val="Footer"/>
      <w:ind w:left="0"/>
      <w:rPr>
        <w:sz w:val="2"/>
        <w:szCs w:val="2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8ABF2" w14:textId="7CB1E60D" w:rsidR="00CD7F9B" w:rsidRPr="008276C1" w:rsidRDefault="00CD7F9B" w:rsidP="00363CAD">
    <w:pPr>
      <w:tabs>
        <w:tab w:val="center" w:pos="4680"/>
        <w:tab w:val="right" w:pos="9360"/>
      </w:tabs>
      <w:spacing w:after="0" w:line="240" w:lineRule="auto"/>
      <w:ind w:left="426"/>
      <w:jc w:val="center"/>
      <w:rPr>
        <w:rFonts w:eastAsia="Times New Roman"/>
        <w:b/>
      </w:rPr>
    </w:pPr>
    <w:bookmarkStart w:id="10" w:name="_Hlk152662735"/>
    <w:proofErr w:type="spellStart"/>
    <w:r w:rsidRPr="008276C1">
      <w:rPr>
        <w:rFonts w:eastAsia="Times New Roman"/>
        <w:b/>
      </w:rPr>
      <w:t>Secretariatul</w:t>
    </w:r>
    <w:proofErr w:type="spellEnd"/>
    <w:r w:rsidRPr="008276C1">
      <w:rPr>
        <w:rFonts w:eastAsia="Times New Roman"/>
        <w:b/>
      </w:rPr>
      <w:t xml:space="preserve"> </w:t>
    </w:r>
    <w:proofErr w:type="spellStart"/>
    <w:r w:rsidRPr="008276C1">
      <w:rPr>
        <w:rFonts w:eastAsia="Times New Roman"/>
        <w:b/>
      </w:rPr>
      <w:t>tehnic</w:t>
    </w:r>
    <w:proofErr w:type="spellEnd"/>
    <w:r w:rsidRPr="008276C1">
      <w:rPr>
        <w:rFonts w:eastAsia="Times New Roman"/>
        <w:b/>
      </w:rPr>
      <w:t xml:space="preserve"> al SNA     </w:t>
    </w:r>
  </w:p>
  <w:p w14:paraId="71B91796" w14:textId="77777777" w:rsidR="00CD7F9B" w:rsidRPr="008276C1" w:rsidRDefault="00CD7F9B" w:rsidP="00363CAD">
    <w:pPr>
      <w:tabs>
        <w:tab w:val="center" w:pos="4320"/>
        <w:tab w:val="right" w:pos="8640"/>
      </w:tabs>
      <w:spacing w:after="0" w:line="240" w:lineRule="auto"/>
      <w:ind w:left="426"/>
      <w:jc w:val="center"/>
      <w:rPr>
        <w:rFonts w:eastAsia="Times New Roman" w:cs="Arial"/>
        <w:b/>
        <w:color w:val="003366"/>
        <w:lang w:eastAsia="ro-RO"/>
      </w:rPr>
    </w:pPr>
    <w:r w:rsidRPr="008276C1">
      <w:rPr>
        <w:rFonts w:eastAsia="Times New Roman" w:cs="Arial"/>
        <w:b/>
        <w:color w:val="003366"/>
        <w:lang w:eastAsia="ro-RO"/>
      </w:rPr>
      <w:t xml:space="preserve">Str. </w:t>
    </w:r>
    <w:proofErr w:type="spellStart"/>
    <w:r w:rsidRPr="008276C1">
      <w:rPr>
        <w:rFonts w:eastAsia="Times New Roman" w:cs="Arial"/>
        <w:b/>
        <w:color w:val="003366"/>
        <w:lang w:eastAsia="ro-RO"/>
      </w:rPr>
      <w:t>Apolodor</w:t>
    </w:r>
    <w:proofErr w:type="spellEnd"/>
    <w:r w:rsidRPr="008276C1">
      <w:rPr>
        <w:rFonts w:eastAsia="Times New Roman" w:cs="Arial"/>
        <w:b/>
        <w:color w:val="003366"/>
        <w:lang w:eastAsia="ro-RO"/>
      </w:rPr>
      <w:t xml:space="preserve"> nr. 17, sector 5, 050741</w:t>
    </w:r>
  </w:p>
  <w:p w14:paraId="64CAC9EE" w14:textId="4A075B6D" w:rsidR="00CD7F9B" w:rsidRPr="008276C1" w:rsidRDefault="00CD7F9B" w:rsidP="00363CAD">
    <w:pPr>
      <w:tabs>
        <w:tab w:val="center" w:pos="4320"/>
        <w:tab w:val="right" w:pos="8640"/>
      </w:tabs>
      <w:spacing w:after="0" w:line="240" w:lineRule="auto"/>
      <w:ind w:left="426"/>
      <w:jc w:val="center"/>
      <w:rPr>
        <w:rFonts w:eastAsia="Times New Roman" w:cs="Arial"/>
        <w:b/>
        <w:color w:val="003366"/>
        <w:lang w:eastAsia="ro-RO"/>
      </w:rPr>
    </w:pPr>
    <w:proofErr w:type="spellStart"/>
    <w:r w:rsidRPr="008276C1">
      <w:rPr>
        <w:rFonts w:eastAsia="Times New Roman" w:cs="Arial"/>
        <w:b/>
        <w:color w:val="003366"/>
        <w:lang w:eastAsia="ro-RO"/>
      </w:rPr>
      <w:t>București</w:t>
    </w:r>
    <w:proofErr w:type="spellEnd"/>
    <w:r w:rsidRPr="008276C1">
      <w:rPr>
        <w:rFonts w:eastAsia="Times New Roman" w:cs="Arial"/>
        <w:b/>
        <w:color w:val="003366"/>
        <w:lang w:eastAsia="ro-RO"/>
      </w:rPr>
      <w:t xml:space="preserve">, </w:t>
    </w:r>
    <w:proofErr w:type="spellStart"/>
    <w:r w:rsidRPr="008276C1">
      <w:rPr>
        <w:rFonts w:eastAsia="Times New Roman" w:cs="Arial"/>
        <w:b/>
        <w:color w:val="003366"/>
        <w:lang w:eastAsia="ro-RO"/>
      </w:rPr>
      <w:t>România</w:t>
    </w:r>
    <w:proofErr w:type="spellEnd"/>
    <w:r w:rsidR="0001515D" w:rsidRPr="008276C1">
      <w:rPr>
        <w:rFonts w:eastAsia="Times New Roman" w:cs="Arial"/>
        <w:b/>
        <w:color w:val="003366"/>
        <w:lang w:eastAsia="ro-RO"/>
      </w:rPr>
      <w:t xml:space="preserve">                                             </w:t>
    </w:r>
  </w:p>
  <w:p w14:paraId="52B193CA" w14:textId="77777777" w:rsidR="00CD7F9B" w:rsidRPr="008276C1" w:rsidRDefault="00C14688" w:rsidP="00363CAD">
    <w:pPr>
      <w:tabs>
        <w:tab w:val="center" w:pos="4153"/>
        <w:tab w:val="right" w:pos="8306"/>
      </w:tabs>
      <w:spacing w:after="0" w:line="240" w:lineRule="auto"/>
      <w:ind w:left="426"/>
      <w:jc w:val="center"/>
      <w:rPr>
        <w:rFonts w:eastAsia="Times New Roman" w:cs="Arial"/>
        <w:b/>
        <w:lang w:eastAsia="ro-RO"/>
      </w:rPr>
    </w:pPr>
    <w:hyperlink r:id="rId1" w:history="1">
      <w:r w:rsidR="00CD7F9B" w:rsidRPr="008276C1">
        <w:rPr>
          <w:rFonts w:eastAsia="Times New Roman" w:cs="Arial"/>
          <w:b/>
          <w:color w:val="003366"/>
          <w:lang w:eastAsia="ro-RO"/>
        </w:rPr>
        <w:t>www.just.ro</w:t>
      </w:r>
    </w:hyperlink>
  </w:p>
  <w:bookmarkEnd w:id="10"/>
  <w:p w14:paraId="2044C852" w14:textId="690EED49" w:rsidR="00CD7F9B" w:rsidRDefault="00CD7F9B" w:rsidP="00363CAD">
    <w:pPr>
      <w:pStyle w:val="Footer"/>
    </w:pPr>
  </w:p>
  <w:p w14:paraId="02DC9A69" w14:textId="77777777" w:rsidR="00E80D5E" w:rsidRPr="007E7D11" w:rsidRDefault="00E80D5E" w:rsidP="00036CF6">
    <w:pPr>
      <w:pStyle w:val="Footer"/>
      <w:ind w:left="0"/>
      <w:rPr>
        <w:sz w:val="2"/>
        <w:szCs w:val="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602AE" w14:textId="77777777" w:rsidR="00C14688" w:rsidRDefault="00C14688" w:rsidP="00871565">
      <w:pPr>
        <w:spacing w:after="0"/>
        <w:ind w:left="0"/>
      </w:pPr>
      <w:r>
        <w:separator/>
      </w:r>
    </w:p>
  </w:footnote>
  <w:footnote w:type="continuationSeparator" w:id="0">
    <w:p w14:paraId="4FB66F48" w14:textId="77777777" w:rsidR="00C14688" w:rsidRDefault="00C14688" w:rsidP="00871565">
      <w:pPr>
        <w:ind w:left="0"/>
      </w:pPr>
      <w:r>
        <w:continuationSeparator/>
      </w:r>
    </w:p>
  </w:footnote>
  <w:footnote w:type="continuationNotice" w:id="1">
    <w:p w14:paraId="0C7BE2B1" w14:textId="77777777" w:rsidR="00C14688" w:rsidRDefault="00C14688" w:rsidP="00871565">
      <w:pPr>
        <w:spacing w:after="0" w:line="240" w:lineRule="auto"/>
        <w:ind w:left="0"/>
      </w:pPr>
    </w:p>
  </w:footnote>
  <w:footnote w:id="2">
    <w:p w14:paraId="03D5F70B" w14:textId="77777777" w:rsidR="004305E0" w:rsidRPr="00BA0D8E" w:rsidRDefault="004305E0" w:rsidP="004305E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Organizat </w:t>
      </w:r>
      <w:r>
        <w:rPr>
          <w:lang w:val="ro-RO"/>
        </w:rPr>
        <w:t>sub egida unor furnizori</w:t>
      </w:r>
      <w:r w:rsidRPr="00BA0D8E">
        <w:rPr>
          <w:lang w:val="ro-RO"/>
        </w:rPr>
        <w:t xml:space="preserve"> de formare profesionala din mediul privat</w:t>
      </w:r>
    </w:p>
  </w:footnote>
  <w:footnote w:id="3">
    <w:p w14:paraId="4273027D" w14:textId="77777777" w:rsidR="004305E0" w:rsidRPr="00E1542A" w:rsidRDefault="004305E0" w:rsidP="004305E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E1542A">
        <w:t>www.rosilva.ro</w:t>
      </w:r>
    </w:p>
  </w:footnote>
  <w:footnote w:id="4">
    <w:p w14:paraId="513356AB" w14:textId="77777777" w:rsidR="004305E0" w:rsidRPr="002F5762" w:rsidRDefault="004305E0" w:rsidP="004305E0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2F5762">
        <w:rPr>
          <w:lang w:val="fr-FR"/>
        </w:rPr>
        <w:t xml:space="preserve"> </w:t>
      </w:r>
      <w:r w:rsidRPr="002F5762">
        <w:rPr>
          <w:lang w:val="ro-RO"/>
        </w:rPr>
        <w:t>Planul de integritate pentru implementarea SNA 2021-2025 a fost revizuit</w:t>
      </w:r>
      <w:r>
        <w:rPr>
          <w:lang w:val="ro-RO"/>
        </w:rPr>
        <w:t xml:space="preserve"> și aprobat de conducerea instituției</w:t>
      </w:r>
      <w:r w:rsidRPr="002F5762">
        <w:rPr>
          <w:lang w:val="ro-RO"/>
        </w:rPr>
        <w:t xml:space="preserve"> și în an</w:t>
      </w:r>
      <w:r>
        <w:rPr>
          <w:lang w:val="ro-RO"/>
        </w:rPr>
        <w:t xml:space="preserve">ul 2023, în prezent pe site-ul acesteia fiind publicată noua formă a documentului </w:t>
      </w:r>
      <w:hyperlink r:id="rId1" w:history="1">
        <w:r w:rsidRPr="00956A7A">
          <w:rPr>
            <w:rStyle w:val="Hyperlink"/>
            <w:lang w:val="ro-RO"/>
          </w:rPr>
          <w:t>http://www.rosilva.ro/files/content/bucuresti/SNA2025.pdf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33C42" w14:textId="77777777" w:rsidR="0094530E" w:rsidRDefault="0094530E" w:rsidP="008A4458">
    <w:pPr>
      <w:pStyle w:val="Header"/>
      <w:ind w:left="0"/>
    </w:pPr>
  </w:p>
  <w:p w14:paraId="024F8CE0" w14:textId="7590E864" w:rsidR="00FC7E0D" w:rsidRPr="00CD5B3B" w:rsidRDefault="00FC7E0D" w:rsidP="008A4458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gril1"/>
      <w:tblW w:w="11341" w:type="dxa"/>
      <w:tblInd w:w="-18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04"/>
      <w:gridCol w:w="4837"/>
    </w:tblGrid>
    <w:tr w:rsidR="00C04D68" w:rsidRPr="00C04D68" w14:paraId="7D7C5D26" w14:textId="77777777" w:rsidTr="00093933">
      <w:tc>
        <w:tcPr>
          <w:tcW w:w="6504" w:type="dxa"/>
        </w:tcPr>
        <w:p w14:paraId="3AB2A546" w14:textId="77777777" w:rsidR="00C04D68" w:rsidRPr="00C04D68" w:rsidRDefault="00C04D68" w:rsidP="00C04D68">
          <w:pPr>
            <w:spacing w:before="120"/>
            <w:ind w:left="0"/>
            <w:rPr>
              <w:lang w:val="ro-RO"/>
            </w:rPr>
          </w:pPr>
          <w:r w:rsidRPr="00C04D68">
            <w:rPr>
              <w:noProof/>
              <w:lang w:val="ro-RO" w:eastAsia="ro-RO"/>
            </w:rPr>
            <w:drawing>
              <wp:inline distT="0" distB="0" distL="0" distR="0" wp14:anchorId="4D7AA268" wp14:editId="74B54619">
                <wp:extent cx="2816860" cy="902335"/>
                <wp:effectExtent l="0" t="0" r="2540" b="0"/>
                <wp:docPr id="2096779295" name="Picture 2096779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860" cy="902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37" w:type="dxa"/>
        </w:tcPr>
        <w:p w14:paraId="727B4113" w14:textId="77777777" w:rsidR="00C04D68" w:rsidRPr="00C04D68" w:rsidRDefault="00C04D68" w:rsidP="0061068C">
          <w:pPr>
            <w:spacing w:before="120"/>
            <w:ind w:left="0" w:right="313"/>
            <w:jc w:val="right"/>
            <w:rPr>
              <w:lang w:val="ro-RO"/>
            </w:rPr>
          </w:pPr>
          <w:r w:rsidRPr="00C04D68">
            <w:rPr>
              <w:rFonts w:ascii="Calibri" w:eastAsia="Times New Roman" w:hAnsi="Calibri"/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694F1082" wp14:editId="19394CEE">
                <wp:simplePos x="0" y="0"/>
                <wp:positionH relativeFrom="column">
                  <wp:posOffset>6106795</wp:posOffset>
                </wp:positionH>
                <wp:positionV relativeFrom="paragraph">
                  <wp:posOffset>424815</wp:posOffset>
                </wp:positionV>
                <wp:extent cx="1277620" cy="902970"/>
                <wp:effectExtent l="0" t="0" r="0" b="0"/>
                <wp:wrapNone/>
                <wp:docPr id="1971753002" name="Picture 1971753002" descr="C:\Users\leonard.anghel\Desktop\logo_centenar_ROMANIA_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leonard.anghel\Desktop\logo_centenar_ROMANIA_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62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70E86B3" w14:textId="77777777" w:rsidR="00E80D5E" w:rsidRPr="007E7D11" w:rsidRDefault="00351230" w:rsidP="00351230">
    <w:pPr>
      <w:pStyle w:val="Header"/>
      <w:tabs>
        <w:tab w:val="clear" w:pos="8640"/>
      </w:tabs>
      <w:spacing w:after="0"/>
      <w:ind w:left="-1701" w:right="-291"/>
      <w:rPr>
        <w:sz w:val="2"/>
        <w:szCs w:val="2"/>
      </w:rPr>
    </w:pPr>
    <w:r>
      <w:rPr>
        <w:noProof/>
        <w:lang w:val="ro-RO" w:eastAsia="ro-RO"/>
      </w:rPr>
      <w:t xml:space="preserve">                   </w:t>
    </w:r>
    <w:r>
      <w:rPr>
        <w:sz w:val="2"/>
        <w:szCs w:val="2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55F"/>
    <w:multiLevelType w:val="hybridMultilevel"/>
    <w:tmpl w:val="B76C23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1431"/>
    <w:multiLevelType w:val="hybridMultilevel"/>
    <w:tmpl w:val="6AEEC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50851"/>
    <w:multiLevelType w:val="multilevel"/>
    <w:tmpl w:val="474829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3240"/>
        </w:tabs>
        <w:ind w:left="32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20"/>
        </w:tabs>
        <w:ind w:left="4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5760"/>
        </w:tabs>
        <w:ind w:left="57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6840"/>
        </w:tabs>
        <w:ind w:left="68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0800"/>
        </w:tabs>
        <w:ind w:left="10800" w:hanging="1800"/>
      </w:pPr>
    </w:lvl>
  </w:abstractNum>
  <w:abstractNum w:abstractNumId="3" w15:restartNumberingAfterBreak="0">
    <w:nsid w:val="04A30852"/>
    <w:multiLevelType w:val="hybridMultilevel"/>
    <w:tmpl w:val="9F8AF2F2"/>
    <w:lvl w:ilvl="0" w:tplc="AB8EE4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E65C0534">
      <w:start w:val="1"/>
      <w:numFmt w:val="lowerLetter"/>
      <w:lvlText w:val="%2)"/>
      <w:lvlJc w:val="left"/>
      <w:pPr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7166AA"/>
    <w:multiLevelType w:val="hybridMultilevel"/>
    <w:tmpl w:val="B1243D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D10281"/>
    <w:multiLevelType w:val="hybridMultilevel"/>
    <w:tmpl w:val="71D2F6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AA48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383BE0">
      <w:start w:val="10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0C0F30"/>
    <w:multiLevelType w:val="hybridMultilevel"/>
    <w:tmpl w:val="685ACBA8"/>
    <w:lvl w:ilvl="0" w:tplc="89CA8208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128ED"/>
    <w:multiLevelType w:val="hybridMultilevel"/>
    <w:tmpl w:val="75DA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477F"/>
    <w:multiLevelType w:val="hybridMultilevel"/>
    <w:tmpl w:val="40F430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B12A5D"/>
    <w:multiLevelType w:val="multilevel"/>
    <w:tmpl w:val="B5A4C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0104282"/>
    <w:multiLevelType w:val="hybridMultilevel"/>
    <w:tmpl w:val="4F864EFC"/>
    <w:lvl w:ilvl="0" w:tplc="2F5EA98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423EB"/>
    <w:multiLevelType w:val="hybridMultilevel"/>
    <w:tmpl w:val="30F80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67D5B"/>
    <w:multiLevelType w:val="hybridMultilevel"/>
    <w:tmpl w:val="B542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5C5"/>
    <w:multiLevelType w:val="hybridMultilevel"/>
    <w:tmpl w:val="F30CD3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11474A"/>
    <w:multiLevelType w:val="hybridMultilevel"/>
    <w:tmpl w:val="31362C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0643"/>
    <w:multiLevelType w:val="hybridMultilevel"/>
    <w:tmpl w:val="B62E7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8452E"/>
    <w:multiLevelType w:val="hybridMultilevel"/>
    <w:tmpl w:val="75F845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476922"/>
    <w:multiLevelType w:val="hybridMultilevel"/>
    <w:tmpl w:val="7774FB22"/>
    <w:lvl w:ilvl="0" w:tplc="1A5228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5C43B5"/>
    <w:multiLevelType w:val="hybridMultilevel"/>
    <w:tmpl w:val="B9B83EFA"/>
    <w:lvl w:ilvl="0" w:tplc="7812B0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9F7D3E"/>
    <w:multiLevelType w:val="hybridMultilevel"/>
    <w:tmpl w:val="F41A207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A0A32"/>
    <w:multiLevelType w:val="hybridMultilevel"/>
    <w:tmpl w:val="DC625BDC"/>
    <w:lvl w:ilvl="0" w:tplc="EA6825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E0C0A7F8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8AE0483E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B624C81"/>
    <w:multiLevelType w:val="hybridMultilevel"/>
    <w:tmpl w:val="12325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5994"/>
    <w:multiLevelType w:val="hybridMultilevel"/>
    <w:tmpl w:val="8BEC5FD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B06C0"/>
    <w:multiLevelType w:val="hybridMultilevel"/>
    <w:tmpl w:val="12325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518CE"/>
    <w:multiLevelType w:val="hybridMultilevel"/>
    <w:tmpl w:val="B7A83B4C"/>
    <w:lvl w:ilvl="0" w:tplc="F4888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111CA"/>
    <w:multiLevelType w:val="hybridMultilevel"/>
    <w:tmpl w:val="403CAA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ED67F3"/>
    <w:multiLevelType w:val="hybridMultilevel"/>
    <w:tmpl w:val="3B3608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06122"/>
    <w:multiLevelType w:val="hybridMultilevel"/>
    <w:tmpl w:val="35E63C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CC64AD"/>
    <w:multiLevelType w:val="hybridMultilevel"/>
    <w:tmpl w:val="637E3D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1E6DD0"/>
    <w:multiLevelType w:val="hybridMultilevel"/>
    <w:tmpl w:val="15A6D1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0AC926">
      <w:numFmt w:val="bullet"/>
      <w:lvlText w:val="-"/>
      <w:lvlJc w:val="left"/>
      <w:pPr>
        <w:ind w:left="1440" w:hanging="360"/>
      </w:pPr>
      <w:rPr>
        <w:rFonts w:ascii="Trebuchet MS" w:eastAsia="Calibri" w:hAnsi="Trebuchet M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C71EF"/>
    <w:multiLevelType w:val="hybridMultilevel"/>
    <w:tmpl w:val="475057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85806"/>
    <w:multiLevelType w:val="hybridMultilevel"/>
    <w:tmpl w:val="B170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4B54EE"/>
    <w:multiLevelType w:val="hybridMultilevel"/>
    <w:tmpl w:val="17E61A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20B4F"/>
    <w:multiLevelType w:val="hybridMultilevel"/>
    <w:tmpl w:val="1562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151BD"/>
    <w:multiLevelType w:val="hybridMultilevel"/>
    <w:tmpl w:val="04BACEB0"/>
    <w:lvl w:ilvl="0" w:tplc="49D6127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FE22C2C"/>
    <w:multiLevelType w:val="hybridMultilevel"/>
    <w:tmpl w:val="8BEC5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BE48BD"/>
    <w:multiLevelType w:val="hybridMultilevel"/>
    <w:tmpl w:val="7012D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D191B"/>
    <w:multiLevelType w:val="hybridMultilevel"/>
    <w:tmpl w:val="18828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61244"/>
    <w:multiLevelType w:val="hybridMultilevel"/>
    <w:tmpl w:val="E500E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3033B"/>
    <w:multiLevelType w:val="hybridMultilevel"/>
    <w:tmpl w:val="161A6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BC303F"/>
    <w:multiLevelType w:val="hybridMultilevel"/>
    <w:tmpl w:val="E604EC1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6832CEB0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245E42"/>
    <w:multiLevelType w:val="hybridMultilevel"/>
    <w:tmpl w:val="614AAE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03FF5"/>
    <w:multiLevelType w:val="hybridMultilevel"/>
    <w:tmpl w:val="C7B2AE1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C9D60FC"/>
    <w:multiLevelType w:val="hybridMultilevel"/>
    <w:tmpl w:val="C122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E092E"/>
    <w:multiLevelType w:val="hybridMultilevel"/>
    <w:tmpl w:val="B6F68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0"/>
  </w:num>
  <w:num w:numId="4">
    <w:abstractNumId w:val="8"/>
  </w:num>
  <w:num w:numId="5">
    <w:abstractNumId w:val="41"/>
  </w:num>
  <w:num w:numId="6">
    <w:abstractNumId w:val="20"/>
  </w:num>
  <w:num w:numId="7">
    <w:abstractNumId w:val="29"/>
  </w:num>
  <w:num w:numId="8">
    <w:abstractNumId w:val="11"/>
  </w:num>
  <w:num w:numId="9">
    <w:abstractNumId w:val="22"/>
  </w:num>
  <w:num w:numId="10">
    <w:abstractNumId w:val="35"/>
  </w:num>
  <w:num w:numId="11">
    <w:abstractNumId w:val="26"/>
  </w:num>
  <w:num w:numId="12">
    <w:abstractNumId w:val="3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9"/>
  </w:num>
  <w:num w:numId="16">
    <w:abstractNumId w:val="0"/>
  </w:num>
  <w:num w:numId="17">
    <w:abstractNumId w:val="42"/>
  </w:num>
  <w:num w:numId="18">
    <w:abstractNumId w:val="4"/>
  </w:num>
  <w:num w:numId="19">
    <w:abstractNumId w:val="25"/>
  </w:num>
  <w:num w:numId="20">
    <w:abstractNumId w:val="27"/>
  </w:num>
  <w:num w:numId="21">
    <w:abstractNumId w:val="13"/>
  </w:num>
  <w:num w:numId="22">
    <w:abstractNumId w:val="10"/>
  </w:num>
  <w:num w:numId="23">
    <w:abstractNumId w:val="44"/>
  </w:num>
  <w:num w:numId="24">
    <w:abstractNumId w:val="34"/>
  </w:num>
  <w:num w:numId="25">
    <w:abstractNumId w:val="5"/>
  </w:num>
  <w:num w:numId="26">
    <w:abstractNumId w:val="3"/>
  </w:num>
  <w:num w:numId="27">
    <w:abstractNumId w:val="38"/>
  </w:num>
  <w:num w:numId="28">
    <w:abstractNumId w:val="39"/>
  </w:num>
  <w:num w:numId="29">
    <w:abstractNumId w:val="15"/>
  </w:num>
  <w:num w:numId="30">
    <w:abstractNumId w:val="19"/>
  </w:num>
  <w:num w:numId="31">
    <w:abstractNumId w:val="16"/>
  </w:num>
  <w:num w:numId="32">
    <w:abstractNumId w:val="28"/>
  </w:num>
  <w:num w:numId="33">
    <w:abstractNumId w:val="7"/>
  </w:num>
  <w:num w:numId="34">
    <w:abstractNumId w:val="37"/>
  </w:num>
  <w:num w:numId="35">
    <w:abstractNumId w:val="21"/>
  </w:num>
  <w:num w:numId="36">
    <w:abstractNumId w:val="23"/>
  </w:num>
  <w:num w:numId="37">
    <w:abstractNumId w:val="14"/>
  </w:num>
  <w:num w:numId="38">
    <w:abstractNumId w:val="30"/>
  </w:num>
  <w:num w:numId="39">
    <w:abstractNumId w:val="2"/>
  </w:num>
  <w:num w:numId="40">
    <w:abstractNumId w:val="43"/>
  </w:num>
  <w:num w:numId="41">
    <w:abstractNumId w:val="17"/>
  </w:num>
  <w:num w:numId="42">
    <w:abstractNumId w:val="18"/>
  </w:num>
  <w:num w:numId="43">
    <w:abstractNumId w:val="12"/>
  </w:num>
  <w:num w:numId="44">
    <w:abstractNumId w:val="6"/>
  </w:num>
  <w:num w:numId="45">
    <w:abstractNumId w:val="33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EA9"/>
    <w:rsid w:val="00001DEC"/>
    <w:rsid w:val="000024D7"/>
    <w:rsid w:val="00003781"/>
    <w:rsid w:val="00010EF2"/>
    <w:rsid w:val="00011E45"/>
    <w:rsid w:val="0001515D"/>
    <w:rsid w:val="0002256C"/>
    <w:rsid w:val="00023330"/>
    <w:rsid w:val="00026B77"/>
    <w:rsid w:val="0003025D"/>
    <w:rsid w:val="00036CF6"/>
    <w:rsid w:val="00054D40"/>
    <w:rsid w:val="00056BE2"/>
    <w:rsid w:val="00057A9D"/>
    <w:rsid w:val="00072D9B"/>
    <w:rsid w:val="00093A08"/>
    <w:rsid w:val="00095939"/>
    <w:rsid w:val="000A2B3A"/>
    <w:rsid w:val="000A5AF6"/>
    <w:rsid w:val="000A67C7"/>
    <w:rsid w:val="000C4BB3"/>
    <w:rsid w:val="000D0C86"/>
    <w:rsid w:val="000E07D8"/>
    <w:rsid w:val="000E12C3"/>
    <w:rsid w:val="000F19F9"/>
    <w:rsid w:val="000F52D3"/>
    <w:rsid w:val="000F5564"/>
    <w:rsid w:val="00100F36"/>
    <w:rsid w:val="001042D0"/>
    <w:rsid w:val="00113A4C"/>
    <w:rsid w:val="00124D4F"/>
    <w:rsid w:val="00150E37"/>
    <w:rsid w:val="00161E68"/>
    <w:rsid w:val="00170786"/>
    <w:rsid w:val="001766CF"/>
    <w:rsid w:val="00180B28"/>
    <w:rsid w:val="0018375D"/>
    <w:rsid w:val="00184615"/>
    <w:rsid w:val="001A0DAC"/>
    <w:rsid w:val="001B5E0B"/>
    <w:rsid w:val="001D28BD"/>
    <w:rsid w:val="001D2C72"/>
    <w:rsid w:val="001D48E7"/>
    <w:rsid w:val="001D548B"/>
    <w:rsid w:val="001F3E11"/>
    <w:rsid w:val="002062E1"/>
    <w:rsid w:val="00212A34"/>
    <w:rsid w:val="00221004"/>
    <w:rsid w:val="002317A7"/>
    <w:rsid w:val="002336CD"/>
    <w:rsid w:val="002403DB"/>
    <w:rsid w:val="00251423"/>
    <w:rsid w:val="002606B0"/>
    <w:rsid w:val="0026444E"/>
    <w:rsid w:val="002662A0"/>
    <w:rsid w:val="00267D09"/>
    <w:rsid w:val="00271C56"/>
    <w:rsid w:val="00284333"/>
    <w:rsid w:val="00296627"/>
    <w:rsid w:val="002A5742"/>
    <w:rsid w:val="002B2D08"/>
    <w:rsid w:val="002B67ED"/>
    <w:rsid w:val="002C0E14"/>
    <w:rsid w:val="002C1141"/>
    <w:rsid w:val="002D19CA"/>
    <w:rsid w:val="002D361E"/>
    <w:rsid w:val="002E1753"/>
    <w:rsid w:val="002F68EC"/>
    <w:rsid w:val="0030015D"/>
    <w:rsid w:val="003127E0"/>
    <w:rsid w:val="0031771B"/>
    <w:rsid w:val="0032422C"/>
    <w:rsid w:val="003262C3"/>
    <w:rsid w:val="00326C3B"/>
    <w:rsid w:val="00351230"/>
    <w:rsid w:val="003521FC"/>
    <w:rsid w:val="00355CCE"/>
    <w:rsid w:val="00357AB2"/>
    <w:rsid w:val="0036088C"/>
    <w:rsid w:val="00363CAD"/>
    <w:rsid w:val="003677C6"/>
    <w:rsid w:val="003772FD"/>
    <w:rsid w:val="00377F07"/>
    <w:rsid w:val="00384E6F"/>
    <w:rsid w:val="003910DC"/>
    <w:rsid w:val="003C32CE"/>
    <w:rsid w:val="003E2406"/>
    <w:rsid w:val="003E5349"/>
    <w:rsid w:val="003E750E"/>
    <w:rsid w:val="00412690"/>
    <w:rsid w:val="00412CDC"/>
    <w:rsid w:val="004170E2"/>
    <w:rsid w:val="0042171A"/>
    <w:rsid w:val="004305E0"/>
    <w:rsid w:val="0044081B"/>
    <w:rsid w:val="00451D1A"/>
    <w:rsid w:val="00462299"/>
    <w:rsid w:val="0047115C"/>
    <w:rsid w:val="00476EBF"/>
    <w:rsid w:val="004827CC"/>
    <w:rsid w:val="00493AD5"/>
    <w:rsid w:val="00493DD5"/>
    <w:rsid w:val="004A4C20"/>
    <w:rsid w:val="004B48C6"/>
    <w:rsid w:val="004D0421"/>
    <w:rsid w:val="004E3089"/>
    <w:rsid w:val="004E50CD"/>
    <w:rsid w:val="004E5AE5"/>
    <w:rsid w:val="004F094D"/>
    <w:rsid w:val="004F2167"/>
    <w:rsid w:val="0053694B"/>
    <w:rsid w:val="00536BCB"/>
    <w:rsid w:val="00540EA5"/>
    <w:rsid w:val="00543045"/>
    <w:rsid w:val="005436C0"/>
    <w:rsid w:val="005467AD"/>
    <w:rsid w:val="00550278"/>
    <w:rsid w:val="005714A5"/>
    <w:rsid w:val="005725E2"/>
    <w:rsid w:val="005A2684"/>
    <w:rsid w:val="005A3D33"/>
    <w:rsid w:val="005C1393"/>
    <w:rsid w:val="005C6F81"/>
    <w:rsid w:val="005D36B6"/>
    <w:rsid w:val="005D5D66"/>
    <w:rsid w:val="005E4E15"/>
    <w:rsid w:val="005E6FFA"/>
    <w:rsid w:val="005F32C6"/>
    <w:rsid w:val="00603DFF"/>
    <w:rsid w:val="00604DD4"/>
    <w:rsid w:val="0061068C"/>
    <w:rsid w:val="00614109"/>
    <w:rsid w:val="00616814"/>
    <w:rsid w:val="006215B3"/>
    <w:rsid w:val="0064189F"/>
    <w:rsid w:val="0065125B"/>
    <w:rsid w:val="0065632C"/>
    <w:rsid w:val="00661D2B"/>
    <w:rsid w:val="0067448C"/>
    <w:rsid w:val="00677FEB"/>
    <w:rsid w:val="006812EA"/>
    <w:rsid w:val="00682252"/>
    <w:rsid w:val="00694A90"/>
    <w:rsid w:val="006A018E"/>
    <w:rsid w:val="006A263E"/>
    <w:rsid w:val="006A4488"/>
    <w:rsid w:val="006A5908"/>
    <w:rsid w:val="006B528B"/>
    <w:rsid w:val="006D3E7D"/>
    <w:rsid w:val="006D7378"/>
    <w:rsid w:val="006E0A08"/>
    <w:rsid w:val="006E27F8"/>
    <w:rsid w:val="006F0C3E"/>
    <w:rsid w:val="007135D7"/>
    <w:rsid w:val="0071577C"/>
    <w:rsid w:val="00722BEC"/>
    <w:rsid w:val="00723E30"/>
    <w:rsid w:val="00725F2C"/>
    <w:rsid w:val="00743D2D"/>
    <w:rsid w:val="007646B7"/>
    <w:rsid w:val="00766E0E"/>
    <w:rsid w:val="00784D36"/>
    <w:rsid w:val="00797C17"/>
    <w:rsid w:val="007A417C"/>
    <w:rsid w:val="007B304F"/>
    <w:rsid w:val="007E7D11"/>
    <w:rsid w:val="00801824"/>
    <w:rsid w:val="0081010C"/>
    <w:rsid w:val="008231E2"/>
    <w:rsid w:val="008276C1"/>
    <w:rsid w:val="008360E4"/>
    <w:rsid w:val="00840F14"/>
    <w:rsid w:val="008477A1"/>
    <w:rsid w:val="008601B4"/>
    <w:rsid w:val="00865A95"/>
    <w:rsid w:val="00870D7F"/>
    <w:rsid w:val="00871565"/>
    <w:rsid w:val="00871DA8"/>
    <w:rsid w:val="00875E3F"/>
    <w:rsid w:val="00882074"/>
    <w:rsid w:val="008848B7"/>
    <w:rsid w:val="0088750D"/>
    <w:rsid w:val="008A1618"/>
    <w:rsid w:val="008A2AC0"/>
    <w:rsid w:val="008A4108"/>
    <w:rsid w:val="008A4458"/>
    <w:rsid w:val="008B63B2"/>
    <w:rsid w:val="008C1365"/>
    <w:rsid w:val="008C5770"/>
    <w:rsid w:val="008D0B4C"/>
    <w:rsid w:val="008D58D8"/>
    <w:rsid w:val="00901E7F"/>
    <w:rsid w:val="009032FD"/>
    <w:rsid w:val="009066F6"/>
    <w:rsid w:val="00915096"/>
    <w:rsid w:val="00940259"/>
    <w:rsid w:val="00941B3F"/>
    <w:rsid w:val="00944E50"/>
    <w:rsid w:val="0094530E"/>
    <w:rsid w:val="00951D44"/>
    <w:rsid w:val="00955B0B"/>
    <w:rsid w:val="00964E05"/>
    <w:rsid w:val="00965088"/>
    <w:rsid w:val="00974016"/>
    <w:rsid w:val="00986C1A"/>
    <w:rsid w:val="009A7B23"/>
    <w:rsid w:val="009C0C3B"/>
    <w:rsid w:val="009C496B"/>
    <w:rsid w:val="009D6133"/>
    <w:rsid w:val="009E7609"/>
    <w:rsid w:val="009F3D06"/>
    <w:rsid w:val="00A01A2B"/>
    <w:rsid w:val="00A01D1F"/>
    <w:rsid w:val="00A13890"/>
    <w:rsid w:val="00A323AB"/>
    <w:rsid w:val="00A44202"/>
    <w:rsid w:val="00A65CE5"/>
    <w:rsid w:val="00A75794"/>
    <w:rsid w:val="00A7669D"/>
    <w:rsid w:val="00A805AA"/>
    <w:rsid w:val="00A851E9"/>
    <w:rsid w:val="00A90ADF"/>
    <w:rsid w:val="00A93FCB"/>
    <w:rsid w:val="00AB77AC"/>
    <w:rsid w:val="00AC0191"/>
    <w:rsid w:val="00AD00C7"/>
    <w:rsid w:val="00AD3EDD"/>
    <w:rsid w:val="00AE26B4"/>
    <w:rsid w:val="00AF1D17"/>
    <w:rsid w:val="00B13BB4"/>
    <w:rsid w:val="00B14306"/>
    <w:rsid w:val="00B27AED"/>
    <w:rsid w:val="00B30670"/>
    <w:rsid w:val="00B371A2"/>
    <w:rsid w:val="00B513C0"/>
    <w:rsid w:val="00B66E1D"/>
    <w:rsid w:val="00B74543"/>
    <w:rsid w:val="00BA26E3"/>
    <w:rsid w:val="00BC4A94"/>
    <w:rsid w:val="00BC507C"/>
    <w:rsid w:val="00BE4D48"/>
    <w:rsid w:val="00BF1455"/>
    <w:rsid w:val="00BF607A"/>
    <w:rsid w:val="00BF61AA"/>
    <w:rsid w:val="00BF7DC7"/>
    <w:rsid w:val="00C04D68"/>
    <w:rsid w:val="00C05271"/>
    <w:rsid w:val="00C05F49"/>
    <w:rsid w:val="00C14688"/>
    <w:rsid w:val="00C20EF1"/>
    <w:rsid w:val="00C22F9C"/>
    <w:rsid w:val="00C40D60"/>
    <w:rsid w:val="00C515F6"/>
    <w:rsid w:val="00C542FE"/>
    <w:rsid w:val="00C54591"/>
    <w:rsid w:val="00C56446"/>
    <w:rsid w:val="00C57E86"/>
    <w:rsid w:val="00C81AEA"/>
    <w:rsid w:val="00C832E7"/>
    <w:rsid w:val="00CA57CE"/>
    <w:rsid w:val="00CA7EF1"/>
    <w:rsid w:val="00CB549F"/>
    <w:rsid w:val="00CC0DB6"/>
    <w:rsid w:val="00CD0C6C"/>
    <w:rsid w:val="00CD0F06"/>
    <w:rsid w:val="00CD5A4D"/>
    <w:rsid w:val="00CD5B3B"/>
    <w:rsid w:val="00CD7F9B"/>
    <w:rsid w:val="00CE1717"/>
    <w:rsid w:val="00CE5733"/>
    <w:rsid w:val="00D026A3"/>
    <w:rsid w:val="00D06E9C"/>
    <w:rsid w:val="00D12377"/>
    <w:rsid w:val="00D22183"/>
    <w:rsid w:val="00D232AB"/>
    <w:rsid w:val="00D26A2F"/>
    <w:rsid w:val="00D327AD"/>
    <w:rsid w:val="00D41980"/>
    <w:rsid w:val="00D476B7"/>
    <w:rsid w:val="00D62CDD"/>
    <w:rsid w:val="00D86061"/>
    <w:rsid w:val="00D86F1D"/>
    <w:rsid w:val="00D93F53"/>
    <w:rsid w:val="00D9453E"/>
    <w:rsid w:val="00D96458"/>
    <w:rsid w:val="00DB087E"/>
    <w:rsid w:val="00DB2333"/>
    <w:rsid w:val="00DB43B1"/>
    <w:rsid w:val="00DD41DA"/>
    <w:rsid w:val="00DD4D27"/>
    <w:rsid w:val="00DE7F5D"/>
    <w:rsid w:val="00DF3E11"/>
    <w:rsid w:val="00DF7BF3"/>
    <w:rsid w:val="00DF7E1B"/>
    <w:rsid w:val="00E0323B"/>
    <w:rsid w:val="00E04E0D"/>
    <w:rsid w:val="00E06D23"/>
    <w:rsid w:val="00E070CF"/>
    <w:rsid w:val="00E4198A"/>
    <w:rsid w:val="00E532F8"/>
    <w:rsid w:val="00E562FC"/>
    <w:rsid w:val="00E64A57"/>
    <w:rsid w:val="00E72F47"/>
    <w:rsid w:val="00E77F23"/>
    <w:rsid w:val="00E80D5E"/>
    <w:rsid w:val="00EA0F6C"/>
    <w:rsid w:val="00EA37F7"/>
    <w:rsid w:val="00EB6ABD"/>
    <w:rsid w:val="00ED27DE"/>
    <w:rsid w:val="00ED3CB8"/>
    <w:rsid w:val="00EE0D8D"/>
    <w:rsid w:val="00EE32F2"/>
    <w:rsid w:val="00EE4A71"/>
    <w:rsid w:val="00F20C2E"/>
    <w:rsid w:val="00F22E55"/>
    <w:rsid w:val="00F250C3"/>
    <w:rsid w:val="00F30363"/>
    <w:rsid w:val="00F56471"/>
    <w:rsid w:val="00F67D20"/>
    <w:rsid w:val="00F70995"/>
    <w:rsid w:val="00F72651"/>
    <w:rsid w:val="00FA7D0C"/>
    <w:rsid w:val="00FB3F7D"/>
    <w:rsid w:val="00FB6D27"/>
    <w:rsid w:val="00FC4284"/>
    <w:rsid w:val="00FC7E0D"/>
    <w:rsid w:val="00FD7204"/>
    <w:rsid w:val="00FE2F2C"/>
    <w:rsid w:val="00FF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79C914"/>
  <w14:defaultImageDpi w14:val="300"/>
  <w15:docId w15:val="{0FE28D9A-83E7-4A70-BA28-01DF62DC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50E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333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50E"/>
    <w:pPr>
      <w:spacing w:after="0"/>
      <w:ind w:left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50E"/>
    <w:rPr>
      <w:rFonts w:ascii="Trebuchet MS" w:hAnsi="Trebuchet MS"/>
      <w:sz w:val="16"/>
    </w:rPr>
  </w:style>
  <w:style w:type="character" w:styleId="FootnoteReference">
    <w:name w:val="footnote reference"/>
    <w:basedOn w:val="DefaultParagraphFont"/>
    <w:unhideWhenUsed/>
    <w:rsid w:val="00A65CE5"/>
    <w:rPr>
      <w:vertAlign w:val="superscript"/>
    </w:rPr>
  </w:style>
  <w:style w:type="table" w:customStyle="1" w:styleId="Tabelgril1">
    <w:name w:val="Tabel grilă1"/>
    <w:basedOn w:val="TableNormal"/>
    <w:next w:val="TableGrid"/>
    <w:uiPriority w:val="59"/>
    <w:rsid w:val="00C04D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C81A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B5E0B"/>
    <w:rPr>
      <w:color w:val="605E5C"/>
      <w:shd w:val="clear" w:color="auto" w:fill="E1DFDD"/>
    </w:rPr>
  </w:style>
  <w:style w:type="paragraph" w:customStyle="1" w:styleId="Footer1">
    <w:name w:val="Footer1"/>
    <w:basedOn w:val="Normal"/>
    <w:link w:val="footerChar0"/>
    <w:qFormat/>
    <w:rsid w:val="000A67C7"/>
    <w:pPr>
      <w:tabs>
        <w:tab w:val="center" w:pos="4680"/>
        <w:tab w:val="right" w:pos="9360"/>
      </w:tabs>
      <w:spacing w:after="0"/>
      <w:ind w:left="0"/>
      <w:jc w:val="center"/>
    </w:pPr>
    <w:rPr>
      <w:rFonts w:eastAsia="Calibri"/>
      <w:b/>
      <w:i/>
      <w:noProof/>
      <w:color w:val="003399"/>
      <w:sz w:val="20"/>
      <w:szCs w:val="20"/>
      <w:lang w:val="ro-RO" w:eastAsia="ro-RO"/>
    </w:rPr>
  </w:style>
  <w:style w:type="character" w:customStyle="1" w:styleId="footerChar0">
    <w:name w:val="footer Char"/>
    <w:link w:val="Footer1"/>
    <w:rsid w:val="000A67C7"/>
    <w:rPr>
      <w:rFonts w:ascii="Trebuchet MS" w:eastAsia="Calibri" w:hAnsi="Trebuchet MS"/>
      <w:b/>
      <w:i/>
      <w:noProof/>
      <w:color w:val="003399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lva.r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osilva.ro/files/content/bucuresti/codetica2022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st.r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ilva.ro/files/content/bucuresti/SNA2025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D13E3-A0BC-4BB8-9585-BCAAD4F2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21</TotalTime>
  <Pages>1</Pages>
  <Words>2121</Words>
  <Characters>12091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14184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Duta</dc:creator>
  <cp:lastModifiedBy>Stefania Duta</cp:lastModifiedBy>
  <cp:revision>16</cp:revision>
  <cp:lastPrinted>2024-07-12T05:59:00Z</cp:lastPrinted>
  <dcterms:created xsi:type="dcterms:W3CDTF">2023-12-05T13:16:00Z</dcterms:created>
  <dcterms:modified xsi:type="dcterms:W3CDTF">2024-07-12T05:59:00Z</dcterms:modified>
</cp:coreProperties>
</file>