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7F35" w14:textId="77777777" w:rsidR="004E3089" w:rsidRPr="004E3089" w:rsidRDefault="004E3089" w:rsidP="004E3089">
      <w:pPr>
        <w:spacing w:before="120"/>
        <w:ind w:left="0"/>
        <w:rPr>
          <w:rFonts w:eastAsia="Calibri"/>
          <w:szCs w:val="24"/>
          <w:lang w:val="ro-RO"/>
        </w:rPr>
      </w:pPr>
      <w:bookmarkStart w:id="0" w:name="_GoBack"/>
      <w:bookmarkEnd w:id="0"/>
    </w:p>
    <w:p w14:paraId="1367E208" w14:textId="77777777" w:rsidR="004E3089" w:rsidRPr="004E3089" w:rsidRDefault="004E3089" w:rsidP="004E3089">
      <w:pPr>
        <w:spacing w:before="120"/>
        <w:ind w:left="0"/>
        <w:rPr>
          <w:rFonts w:eastAsia="Calibri"/>
          <w:szCs w:val="24"/>
          <w:lang w:val="ro-RO"/>
        </w:rPr>
      </w:pPr>
    </w:p>
    <w:p w14:paraId="6AFEC14A" w14:textId="77777777" w:rsidR="00977BC4" w:rsidRPr="0032458C" w:rsidRDefault="00977BC4" w:rsidP="00977BC4">
      <w:pPr>
        <w:spacing w:before="120"/>
        <w:ind w:left="0"/>
        <w:rPr>
          <w:rFonts w:eastAsia="Times New Roman" w:cs="Arial"/>
          <w:b/>
          <w:sz w:val="32"/>
          <w:szCs w:val="32"/>
          <w:lang w:val="ro-RO"/>
        </w:rPr>
      </w:pPr>
    </w:p>
    <w:p w14:paraId="4A4A31C3" w14:textId="77777777" w:rsidR="00977BC4" w:rsidRPr="0032458C" w:rsidRDefault="00977BC4" w:rsidP="00977BC4">
      <w:pPr>
        <w:spacing w:before="120"/>
        <w:ind w:left="0"/>
        <w:jc w:val="center"/>
        <w:rPr>
          <w:rFonts w:eastAsia="Times New Roman" w:cs="Arial"/>
          <w:b/>
          <w:sz w:val="32"/>
          <w:szCs w:val="32"/>
          <w:lang w:val="ro-RO"/>
        </w:rPr>
      </w:pPr>
      <w:r w:rsidRPr="0032458C">
        <w:rPr>
          <w:rFonts w:eastAsia="Times New Roman" w:cs="Arial"/>
          <w:b/>
          <w:sz w:val="32"/>
          <w:szCs w:val="32"/>
          <w:lang w:val="ro-RO"/>
        </w:rPr>
        <w:t>EVALUAREA TEMATICĂ A</w:t>
      </w:r>
    </w:p>
    <w:p w14:paraId="1B63E5AD" w14:textId="77777777" w:rsidR="00977BC4" w:rsidRPr="0032458C" w:rsidRDefault="00977BC4" w:rsidP="00977BC4">
      <w:pPr>
        <w:spacing w:before="120"/>
        <w:ind w:left="0"/>
        <w:jc w:val="center"/>
        <w:rPr>
          <w:rFonts w:eastAsia="Times New Roman" w:cs="Arial"/>
          <w:b/>
          <w:sz w:val="32"/>
          <w:szCs w:val="32"/>
          <w:lang w:val="ro-RO"/>
        </w:rPr>
      </w:pPr>
      <w:r w:rsidRPr="0032458C">
        <w:rPr>
          <w:rFonts w:eastAsia="Times New Roman" w:cs="Arial"/>
          <w:b/>
          <w:sz w:val="32"/>
          <w:szCs w:val="32"/>
          <w:lang w:val="ro-RO"/>
        </w:rPr>
        <w:t>AUTORITĂȚII NAȚIONALE PENTRU</w:t>
      </w:r>
    </w:p>
    <w:p w14:paraId="626EDD89" w14:textId="77777777" w:rsidR="00977BC4" w:rsidRPr="0032458C" w:rsidRDefault="00977BC4" w:rsidP="00977BC4">
      <w:pPr>
        <w:spacing w:before="120"/>
        <w:ind w:left="0"/>
        <w:jc w:val="center"/>
        <w:rPr>
          <w:rFonts w:eastAsia="Times New Roman" w:cs="Arial"/>
          <w:b/>
          <w:sz w:val="32"/>
          <w:szCs w:val="32"/>
          <w:lang w:val="ro-RO"/>
        </w:rPr>
      </w:pPr>
      <w:r w:rsidRPr="0032458C">
        <w:rPr>
          <w:rFonts w:eastAsia="Times New Roman" w:cs="Arial"/>
          <w:b/>
          <w:sz w:val="32"/>
          <w:szCs w:val="32"/>
          <w:lang w:val="ro-RO"/>
        </w:rPr>
        <w:t>PROTECȚIA CONSUMATORILOR</w:t>
      </w:r>
    </w:p>
    <w:p w14:paraId="5235B9BE" w14:textId="77777777" w:rsidR="00977BC4" w:rsidRPr="0032458C" w:rsidRDefault="00977BC4" w:rsidP="00977BC4">
      <w:pPr>
        <w:spacing w:before="120"/>
        <w:ind w:left="0"/>
        <w:jc w:val="center"/>
        <w:rPr>
          <w:rFonts w:eastAsia="Times New Roman" w:cs="Arial"/>
          <w:b/>
          <w:sz w:val="32"/>
          <w:szCs w:val="32"/>
          <w:lang w:val="ro-RO"/>
        </w:rPr>
      </w:pPr>
      <w:r w:rsidRPr="0032458C">
        <w:rPr>
          <w:rFonts w:eastAsia="Times New Roman" w:cs="Arial"/>
          <w:b/>
          <w:sz w:val="32"/>
          <w:szCs w:val="32"/>
          <w:lang w:val="ro-RO"/>
        </w:rPr>
        <w:t>PRIVIND IMPLEMENTAREA</w:t>
      </w:r>
    </w:p>
    <w:p w14:paraId="72239A38" w14:textId="77777777" w:rsidR="00977BC4" w:rsidRPr="0032458C" w:rsidRDefault="00977BC4" w:rsidP="00977BC4">
      <w:pPr>
        <w:spacing w:before="120"/>
        <w:ind w:left="0"/>
        <w:jc w:val="center"/>
        <w:rPr>
          <w:rFonts w:eastAsia="Times New Roman" w:cs="Arial"/>
          <w:b/>
          <w:sz w:val="32"/>
          <w:szCs w:val="32"/>
          <w:lang w:val="ro-RO"/>
        </w:rPr>
      </w:pPr>
      <w:r w:rsidRPr="0032458C">
        <w:rPr>
          <w:rFonts w:eastAsia="Times New Roman" w:cs="Arial"/>
          <w:b/>
          <w:sz w:val="32"/>
          <w:szCs w:val="32"/>
          <w:lang w:val="ro-RO"/>
        </w:rPr>
        <w:t>STRATEGIEI NAȚIONALE ANTICORUPȚIE 2021 – 2025</w:t>
      </w:r>
    </w:p>
    <w:p w14:paraId="5AE03B45" w14:textId="77777777" w:rsidR="00977BC4" w:rsidRPr="0032458C" w:rsidRDefault="00977BC4" w:rsidP="00977BC4">
      <w:pPr>
        <w:spacing w:before="120"/>
        <w:ind w:left="0"/>
        <w:jc w:val="center"/>
        <w:rPr>
          <w:rFonts w:eastAsia="Times New Roman" w:cs="Arial"/>
          <w:b/>
          <w:sz w:val="32"/>
          <w:szCs w:val="32"/>
          <w:lang w:val="ro-RO"/>
        </w:rPr>
      </w:pPr>
    </w:p>
    <w:p w14:paraId="674EB9AE" w14:textId="77777777" w:rsidR="00977BC4" w:rsidRPr="0032458C" w:rsidRDefault="00977BC4" w:rsidP="00977BC4">
      <w:pPr>
        <w:spacing w:before="120"/>
        <w:ind w:left="0"/>
        <w:jc w:val="center"/>
        <w:rPr>
          <w:rFonts w:eastAsia="Times New Roman" w:cs="Arial"/>
          <w:b/>
          <w:sz w:val="32"/>
          <w:szCs w:val="32"/>
          <w:lang w:val="ro-RO"/>
        </w:rPr>
      </w:pPr>
    </w:p>
    <w:p w14:paraId="52362C77" w14:textId="77777777" w:rsidR="00977BC4" w:rsidRPr="0032458C" w:rsidRDefault="00977BC4" w:rsidP="00977BC4">
      <w:pPr>
        <w:spacing w:before="120"/>
        <w:ind w:left="0"/>
        <w:jc w:val="center"/>
        <w:rPr>
          <w:rFonts w:eastAsia="Times New Roman" w:cs="Arial"/>
          <w:b/>
          <w:sz w:val="32"/>
          <w:szCs w:val="32"/>
          <w:lang w:val="ro-RO"/>
        </w:rPr>
      </w:pPr>
    </w:p>
    <w:p w14:paraId="0354AC6C" w14:textId="77777777" w:rsidR="00977BC4" w:rsidRPr="0032458C" w:rsidRDefault="00977BC4" w:rsidP="00977BC4">
      <w:pPr>
        <w:spacing w:before="120"/>
        <w:ind w:left="0"/>
        <w:jc w:val="center"/>
        <w:rPr>
          <w:rFonts w:eastAsia="Times New Roman" w:cs="Arial"/>
          <w:b/>
          <w:sz w:val="32"/>
          <w:szCs w:val="32"/>
          <w:lang w:val="ro-RO"/>
        </w:rPr>
      </w:pPr>
    </w:p>
    <w:p w14:paraId="626760E2" w14:textId="77777777" w:rsidR="00977BC4" w:rsidRPr="0032458C" w:rsidRDefault="00977BC4" w:rsidP="00977BC4">
      <w:pPr>
        <w:spacing w:before="120"/>
        <w:ind w:left="0"/>
        <w:jc w:val="center"/>
        <w:rPr>
          <w:rFonts w:eastAsia="Times New Roman" w:cs="Arial"/>
          <w:b/>
          <w:sz w:val="32"/>
          <w:szCs w:val="32"/>
          <w:lang w:val="ro-RO"/>
        </w:rPr>
      </w:pPr>
      <w:r w:rsidRPr="0032458C">
        <w:rPr>
          <w:rFonts w:eastAsia="Times New Roman" w:cs="Arial"/>
          <w:b/>
          <w:sz w:val="32"/>
          <w:szCs w:val="32"/>
          <w:lang w:val="ro-RO"/>
        </w:rPr>
        <w:t>Raport de evaluare</w:t>
      </w:r>
    </w:p>
    <w:p w14:paraId="32FC9A0B" w14:textId="77777777" w:rsidR="00977BC4" w:rsidRPr="0032458C" w:rsidRDefault="00977BC4" w:rsidP="00977BC4">
      <w:pPr>
        <w:spacing w:before="120"/>
        <w:ind w:left="0"/>
        <w:jc w:val="center"/>
        <w:rPr>
          <w:rFonts w:eastAsia="Times New Roman" w:cs="Arial"/>
          <w:b/>
          <w:sz w:val="32"/>
          <w:szCs w:val="32"/>
          <w:lang w:val="ro-RO"/>
        </w:rPr>
      </w:pPr>
    </w:p>
    <w:p w14:paraId="1FAE5D9B" w14:textId="77777777" w:rsidR="00977BC4" w:rsidRPr="0032458C" w:rsidRDefault="00977BC4" w:rsidP="00977BC4">
      <w:pPr>
        <w:spacing w:before="120"/>
        <w:ind w:left="0"/>
        <w:jc w:val="center"/>
        <w:rPr>
          <w:rFonts w:eastAsia="Times New Roman" w:cs="Arial"/>
          <w:b/>
          <w:sz w:val="32"/>
          <w:szCs w:val="32"/>
          <w:lang w:val="ro-RO"/>
        </w:rPr>
      </w:pPr>
    </w:p>
    <w:p w14:paraId="7F49D354" w14:textId="77777777" w:rsidR="00977BC4" w:rsidRPr="0032458C" w:rsidRDefault="00977BC4" w:rsidP="00977BC4">
      <w:pPr>
        <w:spacing w:before="120"/>
        <w:ind w:left="0"/>
        <w:jc w:val="center"/>
        <w:rPr>
          <w:rFonts w:eastAsia="Times New Roman" w:cs="Arial"/>
          <w:b/>
          <w:sz w:val="32"/>
          <w:szCs w:val="32"/>
          <w:lang w:val="ro-RO"/>
        </w:rPr>
      </w:pPr>
    </w:p>
    <w:p w14:paraId="4E3D3D6B" w14:textId="77777777" w:rsidR="00977BC4" w:rsidRPr="0032458C" w:rsidRDefault="00977BC4" w:rsidP="00977BC4">
      <w:pPr>
        <w:spacing w:before="120"/>
        <w:ind w:left="0"/>
        <w:jc w:val="center"/>
        <w:rPr>
          <w:rFonts w:eastAsia="Times New Roman" w:cs="Arial"/>
          <w:b/>
          <w:sz w:val="32"/>
          <w:szCs w:val="32"/>
          <w:lang w:val="ro-RO"/>
        </w:rPr>
      </w:pPr>
    </w:p>
    <w:p w14:paraId="1E6A0E1C" w14:textId="77777777" w:rsidR="00977BC4" w:rsidRPr="0032458C" w:rsidRDefault="00977BC4" w:rsidP="00977BC4">
      <w:pPr>
        <w:spacing w:before="120"/>
        <w:ind w:left="0"/>
        <w:jc w:val="center"/>
        <w:rPr>
          <w:rFonts w:eastAsia="Times New Roman" w:cs="Arial"/>
          <w:b/>
          <w:sz w:val="32"/>
          <w:szCs w:val="32"/>
          <w:lang w:val="ro-RO"/>
        </w:rPr>
      </w:pPr>
    </w:p>
    <w:p w14:paraId="65AC12A6" w14:textId="77777777" w:rsidR="00977BC4" w:rsidRPr="0032458C" w:rsidRDefault="00977BC4" w:rsidP="00977BC4">
      <w:pPr>
        <w:spacing w:before="120"/>
        <w:ind w:left="0"/>
        <w:jc w:val="center"/>
        <w:rPr>
          <w:rFonts w:eastAsia="Times New Roman" w:cs="Arial"/>
          <w:b/>
          <w:sz w:val="32"/>
          <w:szCs w:val="32"/>
          <w:lang w:val="ro-RO"/>
        </w:rPr>
      </w:pPr>
    </w:p>
    <w:p w14:paraId="15545947" w14:textId="77777777" w:rsidR="00977BC4" w:rsidRPr="0032458C" w:rsidRDefault="00977BC4" w:rsidP="00977BC4">
      <w:pPr>
        <w:spacing w:before="120"/>
        <w:ind w:left="0"/>
        <w:jc w:val="center"/>
        <w:rPr>
          <w:rFonts w:eastAsia="Times New Roman" w:cs="Arial"/>
          <w:b/>
          <w:sz w:val="32"/>
          <w:szCs w:val="32"/>
          <w:lang w:val="ro-RO"/>
        </w:rPr>
      </w:pPr>
    </w:p>
    <w:p w14:paraId="5FF1ACA4" w14:textId="0BC92773" w:rsidR="00977BC4" w:rsidRPr="0032458C" w:rsidRDefault="00977BC4" w:rsidP="00977BC4">
      <w:pPr>
        <w:spacing w:before="120"/>
        <w:ind w:left="0"/>
        <w:jc w:val="center"/>
        <w:rPr>
          <w:rFonts w:eastAsia="Times New Roman" w:cs="Arial"/>
          <w:b/>
          <w:sz w:val="32"/>
          <w:szCs w:val="32"/>
          <w:lang w:val="ro-RO"/>
        </w:rPr>
      </w:pPr>
      <w:r w:rsidRPr="0032458C">
        <w:rPr>
          <w:rFonts w:eastAsia="Times New Roman" w:cs="Arial"/>
          <w:b/>
          <w:sz w:val="32"/>
          <w:szCs w:val="32"/>
          <w:lang w:val="ro-RO"/>
        </w:rPr>
        <w:t>202</w:t>
      </w:r>
      <w:r w:rsidR="00AE4EA0">
        <w:rPr>
          <w:rFonts w:eastAsia="Times New Roman" w:cs="Arial"/>
          <w:b/>
          <w:sz w:val="32"/>
          <w:szCs w:val="32"/>
          <w:lang w:val="ro-RO"/>
        </w:rPr>
        <w:t>4</w:t>
      </w:r>
    </w:p>
    <w:p w14:paraId="55790417" w14:textId="77777777" w:rsidR="00977BC4" w:rsidRPr="0032458C" w:rsidRDefault="00977BC4" w:rsidP="00977BC4">
      <w:pPr>
        <w:spacing w:before="120" w:after="0" w:line="240" w:lineRule="auto"/>
        <w:ind w:left="0"/>
        <w:rPr>
          <w:rFonts w:eastAsia="Times New Roman" w:cs="Arial"/>
          <w:b/>
          <w:bCs/>
          <w:sz w:val="28"/>
          <w:szCs w:val="28"/>
          <w:lang w:val="ro-RO"/>
        </w:rPr>
      </w:pPr>
      <w:r w:rsidRPr="0032458C">
        <w:rPr>
          <w:rFonts w:eastAsia="Times New Roman" w:cs="Arial"/>
          <w:b/>
          <w:sz w:val="32"/>
          <w:szCs w:val="32"/>
          <w:lang w:val="ro-RO"/>
        </w:rPr>
        <w:br w:type="page"/>
      </w:r>
    </w:p>
    <w:p w14:paraId="1E9ED181" w14:textId="77777777" w:rsidR="00977BC4" w:rsidRPr="0032458C" w:rsidRDefault="00977BC4" w:rsidP="00977BC4">
      <w:pPr>
        <w:numPr>
          <w:ilvl w:val="0"/>
          <w:numId w:val="13"/>
        </w:numPr>
        <w:tabs>
          <w:tab w:val="clear" w:pos="720"/>
          <w:tab w:val="num" w:pos="0"/>
        </w:tabs>
        <w:spacing w:before="120" w:after="0"/>
        <w:ind w:left="0" w:firstLine="0"/>
        <w:jc w:val="center"/>
        <w:rPr>
          <w:rFonts w:eastAsia="Calibri"/>
          <w:b/>
          <w:bCs/>
          <w:szCs w:val="24"/>
          <w:lang w:val="ro-RO"/>
        </w:rPr>
      </w:pPr>
      <w:r w:rsidRPr="0032458C">
        <w:rPr>
          <w:rFonts w:eastAsia="Calibri"/>
          <w:b/>
          <w:bCs/>
          <w:szCs w:val="24"/>
          <w:lang w:val="ro-RO"/>
        </w:rPr>
        <w:lastRenderedPageBreak/>
        <w:t>AUTORITATEA NAȚIONALĂ PENTRU PROTECȚIA CONSUMATORILOR</w:t>
      </w:r>
    </w:p>
    <w:p w14:paraId="4DD811F6" w14:textId="77777777" w:rsidR="00977BC4" w:rsidRPr="0032458C" w:rsidRDefault="00977BC4" w:rsidP="00977BC4">
      <w:pPr>
        <w:tabs>
          <w:tab w:val="num" w:pos="0"/>
        </w:tabs>
        <w:spacing w:after="0"/>
        <w:ind w:left="0"/>
        <w:rPr>
          <w:rFonts w:eastAsia="Calibri"/>
          <w:b/>
          <w:bCs/>
          <w:szCs w:val="24"/>
          <w:lang w:val="ro-RO"/>
        </w:rPr>
      </w:pPr>
    </w:p>
    <w:p w14:paraId="7535EADF" w14:textId="77777777" w:rsidR="00977BC4" w:rsidRPr="0032458C" w:rsidRDefault="00977BC4" w:rsidP="00977BC4">
      <w:pPr>
        <w:pBdr>
          <w:top w:val="single" w:sz="4" w:space="1" w:color="auto"/>
          <w:left w:val="single" w:sz="4" w:space="4" w:color="auto"/>
          <w:bottom w:val="single" w:sz="4" w:space="1" w:color="auto"/>
          <w:right w:val="single" w:sz="4" w:space="4" w:color="auto"/>
        </w:pBdr>
        <w:tabs>
          <w:tab w:val="num" w:pos="0"/>
        </w:tabs>
        <w:spacing w:before="120" w:after="0"/>
        <w:ind w:left="0"/>
        <w:rPr>
          <w:rFonts w:eastAsia="Times New Roman" w:cs="Arial"/>
          <w:lang w:val="ro-RO"/>
        </w:rPr>
      </w:pPr>
      <w:r w:rsidRPr="0032458C">
        <w:rPr>
          <w:rFonts w:eastAsia="Times New Roman" w:cs="Arial"/>
          <w:b/>
          <w:lang w:val="ro-RO"/>
        </w:rPr>
        <w:t>I. INTRODUCERE</w:t>
      </w:r>
    </w:p>
    <w:p w14:paraId="30806B6B" w14:textId="77777777" w:rsidR="00977BC4" w:rsidRPr="0032458C" w:rsidRDefault="00977BC4" w:rsidP="00977BC4">
      <w:pPr>
        <w:keepNext/>
        <w:keepLines/>
        <w:numPr>
          <w:ilvl w:val="0"/>
          <w:numId w:val="5"/>
        </w:numPr>
        <w:tabs>
          <w:tab w:val="num" w:pos="0"/>
        </w:tabs>
        <w:spacing w:before="120" w:line="240" w:lineRule="auto"/>
        <w:ind w:left="0" w:firstLine="0"/>
        <w:outlineLvl w:val="4"/>
        <w:rPr>
          <w:rFonts w:eastAsia="Calibri"/>
          <w:b/>
          <w:sz w:val="24"/>
          <w:szCs w:val="24"/>
          <w:lang w:val="ro-RO"/>
        </w:rPr>
      </w:pPr>
      <w:r w:rsidRPr="0032458C">
        <w:rPr>
          <w:rFonts w:eastAsia="Times New Roman" w:cs="Arial"/>
          <w:b/>
          <w:bCs/>
          <w:i/>
          <w:lang w:val="ro-RO"/>
        </w:rPr>
        <w:t xml:space="preserve">Adresa fizică: </w:t>
      </w:r>
      <w:r w:rsidRPr="0032458C">
        <w:rPr>
          <w:rFonts w:eastAsia="Calibri"/>
          <w:szCs w:val="24"/>
          <w:lang w:val="ro-RO"/>
        </w:rPr>
        <w:t>Bulevardul Aviatorilor nr 72, sector 1, București</w:t>
      </w:r>
    </w:p>
    <w:p w14:paraId="49A5ABD5" w14:textId="77777777" w:rsidR="00977BC4" w:rsidRPr="0032458C" w:rsidRDefault="00977BC4" w:rsidP="00977BC4">
      <w:pPr>
        <w:keepNext/>
        <w:keepLines/>
        <w:numPr>
          <w:ilvl w:val="0"/>
          <w:numId w:val="5"/>
        </w:numPr>
        <w:tabs>
          <w:tab w:val="num" w:pos="0"/>
        </w:tabs>
        <w:spacing w:before="120" w:line="240" w:lineRule="auto"/>
        <w:ind w:left="0" w:firstLine="0"/>
        <w:outlineLvl w:val="4"/>
        <w:rPr>
          <w:rFonts w:eastAsia="Times New Roman" w:cs="Arial"/>
          <w:b/>
          <w:bCs/>
          <w:i/>
          <w:lang w:val="ro-RO"/>
        </w:rPr>
      </w:pPr>
      <w:r w:rsidRPr="0032458C">
        <w:rPr>
          <w:rFonts w:eastAsia="Times New Roman" w:cs="Arial"/>
          <w:b/>
          <w:bCs/>
          <w:i/>
          <w:lang w:val="ro-RO"/>
        </w:rPr>
        <w:t>Adresa</w:t>
      </w:r>
      <w:r w:rsidRPr="0032458C">
        <w:rPr>
          <w:rFonts w:eastAsia="Calibri" w:cs="Arial"/>
          <w:b/>
          <w:bCs/>
          <w:i/>
          <w:lang w:val="ro-RO"/>
        </w:rPr>
        <w:t xml:space="preserve"> virtuală: </w:t>
      </w:r>
      <w:hyperlink w:history="1">
        <w:r w:rsidRPr="0032458C">
          <w:rPr>
            <w:rFonts w:eastAsia="Calibri"/>
            <w:color w:val="0000FF"/>
            <w:szCs w:val="24"/>
            <w:u w:val="single"/>
            <w:lang w:val="ro-RO"/>
          </w:rPr>
          <w:t xml:space="preserve">www.anpc.ro </w:t>
        </w:r>
        <w:r w:rsidRPr="0032458C">
          <w:rPr>
            <w:rFonts w:eastAsia="Calibri"/>
            <w:color w:val="0000FF"/>
            <w:sz w:val="24"/>
            <w:szCs w:val="24"/>
            <w:u w:val="single"/>
            <w:lang w:val="ro-RO"/>
          </w:rPr>
          <w:t xml:space="preserve"> </w:t>
        </w:r>
      </w:hyperlink>
      <w:r w:rsidRPr="0032458C">
        <w:rPr>
          <w:rFonts w:eastAsia="Calibri"/>
          <w:sz w:val="24"/>
          <w:szCs w:val="24"/>
          <w:lang w:val="ro-RO"/>
        </w:rPr>
        <w:t xml:space="preserve"> </w:t>
      </w:r>
    </w:p>
    <w:p w14:paraId="73BDDA8D" w14:textId="77777777" w:rsidR="00977BC4" w:rsidRPr="0032458C" w:rsidRDefault="00977BC4" w:rsidP="00977BC4">
      <w:pPr>
        <w:keepNext/>
        <w:keepLines/>
        <w:numPr>
          <w:ilvl w:val="0"/>
          <w:numId w:val="5"/>
        </w:numPr>
        <w:tabs>
          <w:tab w:val="num" w:pos="0"/>
        </w:tabs>
        <w:spacing w:before="120" w:line="240" w:lineRule="auto"/>
        <w:ind w:left="0" w:firstLine="0"/>
        <w:outlineLvl w:val="4"/>
        <w:rPr>
          <w:rFonts w:eastAsia="Times New Roman" w:cs="Arial"/>
          <w:b/>
          <w:bCs/>
          <w:i/>
          <w:lang w:val="ro-RO"/>
        </w:rPr>
      </w:pPr>
      <w:r w:rsidRPr="0032458C">
        <w:rPr>
          <w:rFonts w:eastAsia="Times New Roman" w:cs="Arial"/>
          <w:b/>
          <w:bCs/>
          <w:i/>
          <w:lang w:val="ro-RO"/>
        </w:rPr>
        <w:t>Cadrul legal care reglementează activitatea instituției:</w:t>
      </w:r>
    </w:p>
    <w:p w14:paraId="55763AB3" w14:textId="4B932C7A" w:rsidR="00977BC4" w:rsidRPr="0032458C" w:rsidRDefault="00977BC4" w:rsidP="00977BC4">
      <w:pPr>
        <w:tabs>
          <w:tab w:val="num" w:pos="0"/>
        </w:tabs>
        <w:spacing w:after="0"/>
        <w:ind w:left="0"/>
        <w:rPr>
          <w:rFonts w:eastAsia="Calibri"/>
          <w:lang w:val="ro-RO"/>
        </w:rPr>
      </w:pPr>
      <w:r w:rsidRPr="0032458C">
        <w:rPr>
          <w:rFonts w:eastAsia="Calibri"/>
          <w:lang w:val="ro-RO"/>
        </w:rPr>
        <w:t>Hotărârea Guvernului nr. 700/2012 privind organizare și funcționarea Autorității Naționale pentru Protecția Consumatorilor</w:t>
      </w:r>
      <w:r w:rsidR="002F22BA">
        <w:rPr>
          <w:rFonts w:eastAsia="Calibri"/>
          <w:lang w:val="ro-RO"/>
        </w:rPr>
        <w:t>;</w:t>
      </w:r>
      <w:r w:rsidRPr="0032458C">
        <w:rPr>
          <w:rFonts w:eastAsia="Calibri"/>
          <w:lang w:val="ro-RO"/>
        </w:rPr>
        <w:t xml:space="preserve"> </w:t>
      </w:r>
    </w:p>
    <w:p w14:paraId="33B6B906" w14:textId="043DB118" w:rsidR="00977BC4" w:rsidRPr="0032458C" w:rsidRDefault="00977BC4" w:rsidP="00977BC4">
      <w:pPr>
        <w:tabs>
          <w:tab w:val="num" w:pos="0"/>
        </w:tabs>
        <w:spacing w:after="0"/>
        <w:ind w:left="0"/>
        <w:rPr>
          <w:rFonts w:eastAsia="Calibri"/>
          <w:lang w:val="ro-RO"/>
        </w:rPr>
      </w:pPr>
      <w:r w:rsidRPr="0032458C">
        <w:rPr>
          <w:rFonts w:eastAsia="Calibri"/>
          <w:lang w:val="ro-RO"/>
        </w:rPr>
        <w:t>Ordonanţa nr. 21/1992 privind protecţia consumatorilor</w:t>
      </w:r>
      <w:r w:rsidR="002F22BA">
        <w:rPr>
          <w:rFonts w:eastAsia="Calibri"/>
          <w:lang w:val="ro-RO"/>
        </w:rPr>
        <w:t xml:space="preserve">. </w:t>
      </w:r>
    </w:p>
    <w:p w14:paraId="03E4E669" w14:textId="77777777" w:rsidR="00977BC4" w:rsidRPr="0032458C" w:rsidRDefault="00977BC4" w:rsidP="00977BC4">
      <w:pPr>
        <w:keepNext/>
        <w:keepLines/>
        <w:numPr>
          <w:ilvl w:val="0"/>
          <w:numId w:val="5"/>
        </w:numPr>
        <w:tabs>
          <w:tab w:val="num" w:pos="0"/>
        </w:tabs>
        <w:spacing w:before="120"/>
        <w:ind w:left="0" w:firstLine="0"/>
        <w:outlineLvl w:val="4"/>
        <w:rPr>
          <w:rFonts w:eastAsia="Times New Roman" w:cs="Arial"/>
          <w:b/>
          <w:bCs/>
          <w:i/>
          <w:lang w:val="ro-RO"/>
        </w:rPr>
      </w:pPr>
      <w:r w:rsidRPr="0032458C">
        <w:rPr>
          <w:rFonts w:eastAsia="Times New Roman" w:cs="Arial"/>
          <w:b/>
          <w:bCs/>
          <w:i/>
          <w:lang w:val="ro-RO"/>
        </w:rPr>
        <w:t>Misiune / atribuții / competențe / structura</w:t>
      </w:r>
    </w:p>
    <w:p w14:paraId="7F680BB4" w14:textId="77777777" w:rsidR="00977BC4" w:rsidRPr="0032458C" w:rsidRDefault="00977BC4" w:rsidP="00977BC4">
      <w:pPr>
        <w:tabs>
          <w:tab w:val="num" w:pos="0"/>
        </w:tabs>
        <w:spacing w:after="0"/>
        <w:ind w:left="0"/>
        <w:rPr>
          <w:rFonts w:eastAsia="Calibri" w:cs="Arial"/>
          <w:lang w:val="ro-RO"/>
        </w:rPr>
      </w:pPr>
      <w:r w:rsidRPr="0032458C">
        <w:rPr>
          <w:rFonts w:eastAsia="Calibri"/>
          <w:lang w:val="ro-RO"/>
        </w:rPr>
        <w:t>Conform art. 27 din O.G. nr. 21/1992,</w:t>
      </w:r>
      <w:r w:rsidRPr="0032458C">
        <w:rPr>
          <w:rFonts w:eastAsia="Calibri" w:cs="Arial"/>
          <w:lang w:val="ro-RO"/>
        </w:rPr>
        <w:t xml:space="preserve"> Autoritatea Națională pentru Protecția Consumatorilor este organ de specialitate al administraţiei publice centrale, subordonat Guvernului, coordonează şi realizează politica Guvernului în domeniul protecţiei consumatorilor. </w:t>
      </w:r>
    </w:p>
    <w:p w14:paraId="750FD54E" w14:textId="77777777" w:rsidR="00977BC4" w:rsidRPr="0032458C" w:rsidRDefault="00977BC4" w:rsidP="00977BC4">
      <w:pPr>
        <w:numPr>
          <w:ilvl w:val="0"/>
          <w:numId w:val="5"/>
        </w:numPr>
        <w:tabs>
          <w:tab w:val="num" w:pos="0"/>
        </w:tabs>
        <w:spacing w:before="120" w:after="0"/>
        <w:ind w:left="0" w:firstLine="0"/>
        <w:rPr>
          <w:rFonts w:eastAsia="Calibri"/>
          <w:b/>
          <w:lang w:val="ro-RO"/>
        </w:rPr>
      </w:pPr>
      <w:r w:rsidRPr="0032458C">
        <w:rPr>
          <w:rFonts w:eastAsia="Calibri"/>
          <w:b/>
          <w:bCs/>
          <w:lang w:val="ro-RO"/>
        </w:rPr>
        <w:t>Organigrama:</w:t>
      </w:r>
      <w:r w:rsidRPr="0032458C">
        <w:rPr>
          <w:rFonts w:eastAsia="Calibri"/>
          <w:b/>
          <w:lang w:val="ro-RO"/>
        </w:rPr>
        <w:t xml:space="preserve"> </w:t>
      </w:r>
    </w:p>
    <w:p w14:paraId="7B770D90" w14:textId="77777777" w:rsidR="00977BC4" w:rsidRPr="0032458C" w:rsidRDefault="00977BC4" w:rsidP="00977BC4">
      <w:pPr>
        <w:tabs>
          <w:tab w:val="num" w:pos="0"/>
        </w:tabs>
        <w:spacing w:after="0"/>
        <w:ind w:left="0"/>
        <w:rPr>
          <w:rFonts w:eastAsia="Calibri"/>
          <w:lang w:val="ro-RO"/>
        </w:rPr>
      </w:pPr>
      <w:r w:rsidRPr="0032458C">
        <w:rPr>
          <w:rFonts w:eastAsia="Calibri"/>
          <w:lang w:val="ro-RO"/>
        </w:rPr>
        <w:t>Conform Anexei nr. 1 la H.G. nr. 700/2012, organigrama detaliată prin OPANPC nr. 141/08.03.2023.</w:t>
      </w:r>
    </w:p>
    <w:p w14:paraId="21AC07D7" w14:textId="77777777" w:rsidR="00977BC4" w:rsidRPr="0032458C" w:rsidRDefault="00977BC4" w:rsidP="00977BC4">
      <w:pPr>
        <w:numPr>
          <w:ilvl w:val="0"/>
          <w:numId w:val="11"/>
        </w:numPr>
        <w:tabs>
          <w:tab w:val="num" w:pos="0"/>
        </w:tabs>
        <w:spacing w:before="120" w:after="0"/>
        <w:ind w:left="0" w:firstLine="0"/>
        <w:rPr>
          <w:rFonts w:eastAsia="Calibri"/>
          <w:b/>
          <w:lang w:val="ro-RO"/>
        </w:rPr>
      </w:pPr>
      <w:r w:rsidRPr="0032458C">
        <w:rPr>
          <w:rFonts w:eastAsia="Calibri"/>
          <w:b/>
          <w:bCs/>
          <w:lang w:val="ro-RO"/>
        </w:rPr>
        <w:t xml:space="preserve">Structuri subordonate: </w:t>
      </w:r>
    </w:p>
    <w:p w14:paraId="5FB57C33" w14:textId="77777777" w:rsidR="00977BC4" w:rsidRPr="0032458C" w:rsidRDefault="00977BC4" w:rsidP="00977BC4">
      <w:pPr>
        <w:tabs>
          <w:tab w:val="num" w:pos="0"/>
        </w:tabs>
        <w:spacing w:after="0"/>
        <w:ind w:left="0"/>
        <w:rPr>
          <w:rFonts w:eastAsia="Calibri"/>
          <w:b/>
          <w:bCs/>
          <w:lang w:val="ro-RO"/>
        </w:rPr>
      </w:pPr>
      <w:r w:rsidRPr="0032458C">
        <w:rPr>
          <w:rFonts w:eastAsia="Calibri"/>
          <w:b/>
          <w:bCs/>
          <w:lang w:val="ro-RO"/>
        </w:rPr>
        <w:t>8 Comisariate Regionale, având fiecare personalitate juridică, astfel:</w:t>
      </w:r>
    </w:p>
    <w:p w14:paraId="506A9A1A" w14:textId="77777777" w:rsidR="00977BC4" w:rsidRPr="0032458C" w:rsidRDefault="00977BC4" w:rsidP="00977BC4">
      <w:pPr>
        <w:tabs>
          <w:tab w:val="num" w:pos="0"/>
        </w:tabs>
        <w:spacing w:after="0"/>
        <w:ind w:left="0"/>
        <w:rPr>
          <w:rFonts w:eastAsia="Times New Roman"/>
          <w:lang w:val="ro-RO"/>
        </w:rPr>
      </w:pPr>
    </w:p>
    <w:p w14:paraId="24A6AEAA" w14:textId="77777777" w:rsidR="00977BC4" w:rsidRPr="0032458C" w:rsidRDefault="00977BC4" w:rsidP="00977BC4">
      <w:pPr>
        <w:numPr>
          <w:ilvl w:val="1"/>
          <w:numId w:val="34"/>
        </w:numPr>
        <w:tabs>
          <w:tab w:val="num" w:pos="0"/>
        </w:tabs>
        <w:spacing w:before="120" w:after="240"/>
        <w:ind w:left="0" w:firstLine="0"/>
        <w:contextualSpacing/>
        <w:rPr>
          <w:rFonts w:eastAsia="Times New Roman" w:cs="Tahoma"/>
          <w:lang w:val="ro-RO" w:eastAsia="ro-RO"/>
        </w:rPr>
      </w:pPr>
      <w:r w:rsidRPr="0032458C">
        <w:rPr>
          <w:rFonts w:eastAsia="Times New Roman" w:cs="Tahoma"/>
          <w:lang w:val="ro-RO" w:eastAsia="ro-RO"/>
        </w:rPr>
        <w:t>Comisariatul Regional pentru Protecţia Consumatorilor Regiunea Nord-Est (cu sediul în municipiul Iaşi), care desfăşoară activităţi în judeţele: Iaşi, Botoşani, Neamţ, Suceava, Bacău şi Vaslui;</w:t>
      </w:r>
    </w:p>
    <w:p w14:paraId="298773B8" w14:textId="77777777" w:rsidR="00977BC4" w:rsidRPr="0032458C" w:rsidRDefault="00977BC4" w:rsidP="00977BC4">
      <w:pPr>
        <w:numPr>
          <w:ilvl w:val="1"/>
          <w:numId w:val="34"/>
        </w:numPr>
        <w:tabs>
          <w:tab w:val="num" w:pos="0"/>
        </w:tabs>
        <w:spacing w:before="120" w:after="240"/>
        <w:ind w:left="0" w:firstLine="0"/>
        <w:contextualSpacing/>
        <w:rPr>
          <w:rFonts w:eastAsia="Times New Roman" w:cs="Tahoma"/>
          <w:lang w:val="ro-RO" w:eastAsia="ro-RO"/>
        </w:rPr>
      </w:pPr>
      <w:r w:rsidRPr="0032458C">
        <w:rPr>
          <w:rFonts w:eastAsia="Times New Roman" w:cs="Tahoma"/>
          <w:lang w:val="ro-RO" w:eastAsia="ro-RO"/>
        </w:rPr>
        <w:t>Comisariatul Regional pentru Protecţia Consumatorilor Regiunea Vest (cu sediul în municipiul Timişoara), care desfăşoară activităţi în judeţele: Timiş, Arad, Caraş-Severin şi Hunedoara;</w:t>
      </w:r>
    </w:p>
    <w:p w14:paraId="4C6F2A04" w14:textId="77777777" w:rsidR="00977BC4" w:rsidRPr="0032458C" w:rsidRDefault="00977BC4" w:rsidP="00977BC4">
      <w:pPr>
        <w:numPr>
          <w:ilvl w:val="1"/>
          <w:numId w:val="34"/>
        </w:numPr>
        <w:tabs>
          <w:tab w:val="num" w:pos="0"/>
        </w:tabs>
        <w:spacing w:before="120" w:after="240"/>
        <w:ind w:left="0" w:firstLine="0"/>
        <w:contextualSpacing/>
        <w:rPr>
          <w:rFonts w:eastAsia="Times New Roman" w:cs="Tahoma"/>
          <w:lang w:val="ro-RO" w:eastAsia="ro-RO"/>
        </w:rPr>
      </w:pPr>
      <w:r w:rsidRPr="0032458C">
        <w:rPr>
          <w:rFonts w:eastAsia="Times New Roman" w:cs="Tahoma"/>
          <w:lang w:val="ro-RO" w:eastAsia="ro-RO"/>
        </w:rPr>
        <w:t>Comisariatul Regional pentru Protecţia Consumatorilor Regiunea Nord-Vest (cu sediul în municipiul Cluj), care desfăşoară activităţi în judeţele: Cluj, Bihor, Bistriţa-Năsăud, Maramureş, Satu-Mare şi Sălaj;</w:t>
      </w:r>
    </w:p>
    <w:p w14:paraId="5FABC2ED" w14:textId="77777777" w:rsidR="00977BC4" w:rsidRPr="0032458C" w:rsidRDefault="00977BC4" w:rsidP="00977BC4">
      <w:pPr>
        <w:numPr>
          <w:ilvl w:val="1"/>
          <w:numId w:val="34"/>
        </w:numPr>
        <w:tabs>
          <w:tab w:val="num" w:pos="0"/>
        </w:tabs>
        <w:spacing w:before="120" w:after="240"/>
        <w:ind w:left="0" w:firstLine="0"/>
        <w:contextualSpacing/>
        <w:rPr>
          <w:rFonts w:eastAsia="Times New Roman" w:cs="Tahoma"/>
          <w:lang w:val="ro-RO" w:eastAsia="ro-RO"/>
        </w:rPr>
      </w:pPr>
      <w:r w:rsidRPr="0032458C">
        <w:rPr>
          <w:rFonts w:eastAsia="Times New Roman" w:cs="Tahoma"/>
          <w:lang w:val="ro-RO" w:eastAsia="ro-RO"/>
        </w:rPr>
        <w:t>Comisariatul Regional pentru Protecţia Consumatorilor Regiunea Centru (cu sediul în municipiul Braşov), care desfăşoară activităţi în judeţele: Braşov, Covasna, Harghita, Mureş, Sbiu şi Alba;</w:t>
      </w:r>
    </w:p>
    <w:p w14:paraId="5B61F861" w14:textId="77777777" w:rsidR="00977BC4" w:rsidRPr="0032458C" w:rsidRDefault="00977BC4" w:rsidP="00977BC4">
      <w:pPr>
        <w:numPr>
          <w:ilvl w:val="1"/>
          <w:numId w:val="34"/>
        </w:numPr>
        <w:tabs>
          <w:tab w:val="num" w:pos="0"/>
        </w:tabs>
        <w:spacing w:before="120" w:after="240"/>
        <w:ind w:left="0" w:firstLine="0"/>
        <w:contextualSpacing/>
        <w:rPr>
          <w:rFonts w:eastAsia="Times New Roman" w:cs="Tahoma"/>
          <w:lang w:val="ro-RO" w:eastAsia="ro-RO"/>
        </w:rPr>
      </w:pPr>
      <w:r w:rsidRPr="0032458C">
        <w:rPr>
          <w:rFonts w:eastAsia="Times New Roman" w:cs="Tahoma"/>
          <w:lang w:val="ro-RO" w:eastAsia="ro-RO"/>
        </w:rPr>
        <w:t>Comisariatul Regional pentru Protecţia Consumatorilor Regiunea Sud-Est (cu sediul în municipiul Galaţi), care desfăşoară activităţi în judeţele: Constanţa, Buzău, Tulcea, Brăila, Galaţi şi Vrancea;</w:t>
      </w:r>
    </w:p>
    <w:p w14:paraId="58828BDC" w14:textId="77777777" w:rsidR="00977BC4" w:rsidRPr="0032458C" w:rsidRDefault="00977BC4" w:rsidP="00977BC4">
      <w:pPr>
        <w:numPr>
          <w:ilvl w:val="1"/>
          <w:numId w:val="34"/>
        </w:numPr>
        <w:tabs>
          <w:tab w:val="num" w:pos="0"/>
        </w:tabs>
        <w:spacing w:before="120" w:after="240"/>
        <w:ind w:left="0" w:firstLine="0"/>
        <w:contextualSpacing/>
        <w:rPr>
          <w:rFonts w:eastAsia="Times New Roman" w:cs="Tahoma"/>
          <w:lang w:val="ro-RO" w:eastAsia="ro-RO"/>
        </w:rPr>
      </w:pPr>
      <w:r w:rsidRPr="0032458C">
        <w:rPr>
          <w:rFonts w:eastAsia="Times New Roman" w:cs="Tahoma"/>
          <w:lang w:val="ro-RO" w:eastAsia="ro-RO"/>
        </w:rPr>
        <w:t>Comisariatul Regional pentru Protecţia Consumatorilor Regiunea Sud-Muntenia (cu sediul în municipiul Ploieşti), care desfăşoară activităţi în judeţele: Prahova, Dâmboviţa, Argeş, Ialomiţa, Călăraşi, Giurgiu şi Teleorman;</w:t>
      </w:r>
    </w:p>
    <w:p w14:paraId="233C62F8" w14:textId="77777777" w:rsidR="00977BC4" w:rsidRPr="0032458C" w:rsidRDefault="00977BC4" w:rsidP="00977BC4">
      <w:pPr>
        <w:numPr>
          <w:ilvl w:val="1"/>
          <w:numId w:val="34"/>
        </w:numPr>
        <w:tabs>
          <w:tab w:val="num" w:pos="0"/>
        </w:tabs>
        <w:spacing w:before="120" w:after="240"/>
        <w:ind w:left="0" w:firstLine="0"/>
        <w:contextualSpacing/>
        <w:rPr>
          <w:rFonts w:eastAsia="Times New Roman" w:cs="Tahoma"/>
          <w:lang w:val="ro-RO" w:eastAsia="ro-RO"/>
        </w:rPr>
      </w:pPr>
      <w:r w:rsidRPr="0032458C">
        <w:rPr>
          <w:rFonts w:eastAsia="Times New Roman" w:cs="Tahoma"/>
          <w:lang w:val="ro-RO" w:eastAsia="ro-RO"/>
        </w:rPr>
        <w:t>Comisariatul Regional pentru Protecţia Consumatorilor Regiunea Bucureşti-Ilfov (cu sediul în municipiul Bucureşti), care desfăşoară activităţi în judeţul Ilfov şi în municipiul Bucureşti;</w:t>
      </w:r>
    </w:p>
    <w:p w14:paraId="5EAD9B15" w14:textId="77777777" w:rsidR="00977BC4" w:rsidRPr="0032458C" w:rsidRDefault="00977BC4" w:rsidP="00977BC4">
      <w:pPr>
        <w:numPr>
          <w:ilvl w:val="1"/>
          <w:numId w:val="34"/>
        </w:numPr>
        <w:tabs>
          <w:tab w:val="num" w:pos="0"/>
        </w:tabs>
        <w:spacing w:before="120" w:after="240"/>
        <w:ind w:left="0" w:firstLine="0"/>
        <w:contextualSpacing/>
        <w:rPr>
          <w:rFonts w:eastAsia="Times New Roman" w:cs="Tahoma"/>
          <w:lang w:val="ro-RO" w:eastAsia="ro-RO"/>
        </w:rPr>
      </w:pPr>
      <w:r w:rsidRPr="0032458C">
        <w:rPr>
          <w:rFonts w:eastAsia="Times New Roman" w:cs="Tahoma"/>
          <w:lang w:val="ro-RO" w:eastAsia="ro-RO"/>
        </w:rPr>
        <w:t>Comisariatul Regional pentru Protecţia Consumatorilor Regiunea Sud-Vest Oltenia (cu sediul în municipiul Craiova), care desfăşoară activităţi în judeţele: Dolj, Olt, Vâlcea, Gorj şi Mehedinţi.</w:t>
      </w:r>
    </w:p>
    <w:p w14:paraId="45237069" w14:textId="77777777" w:rsidR="00977BC4" w:rsidRPr="0032458C" w:rsidRDefault="00977BC4" w:rsidP="00977BC4">
      <w:pPr>
        <w:tabs>
          <w:tab w:val="num" w:pos="0"/>
        </w:tabs>
        <w:spacing w:after="0"/>
        <w:ind w:left="0"/>
        <w:rPr>
          <w:rFonts w:eastAsia="Times New Roman"/>
          <w:lang w:val="ro-RO"/>
        </w:rPr>
      </w:pPr>
    </w:p>
    <w:p w14:paraId="7B9C48AD" w14:textId="77777777" w:rsidR="00977BC4" w:rsidRPr="0032458C" w:rsidRDefault="00977BC4" w:rsidP="00977BC4">
      <w:pPr>
        <w:numPr>
          <w:ilvl w:val="0"/>
          <w:numId w:val="11"/>
        </w:numPr>
        <w:tabs>
          <w:tab w:val="num" w:pos="0"/>
        </w:tabs>
        <w:spacing w:before="120" w:after="0"/>
        <w:ind w:left="0" w:firstLine="0"/>
        <w:rPr>
          <w:rFonts w:eastAsia="Calibri"/>
          <w:b/>
          <w:bCs/>
          <w:lang w:val="ro-RO"/>
        </w:rPr>
      </w:pPr>
      <w:r w:rsidRPr="0032458C">
        <w:rPr>
          <w:rFonts w:eastAsia="Calibri"/>
          <w:b/>
          <w:bCs/>
          <w:lang w:val="ro-RO"/>
        </w:rPr>
        <w:lastRenderedPageBreak/>
        <w:t xml:space="preserve">Număr total poziţii/funcţii prevăzute în statul instituţiei (inclusiv nr. funcții de conducere ocupate cu titlu permanent): </w:t>
      </w:r>
    </w:p>
    <w:p w14:paraId="359D2190" w14:textId="77777777" w:rsidR="00977BC4" w:rsidRPr="0032458C" w:rsidRDefault="00977BC4" w:rsidP="00977BC4">
      <w:pPr>
        <w:tabs>
          <w:tab w:val="num" w:pos="0"/>
        </w:tabs>
        <w:spacing w:before="120" w:after="0"/>
        <w:ind w:left="0"/>
        <w:rPr>
          <w:rFonts w:eastAsia="Calibri"/>
          <w:lang w:val="ro-RO"/>
        </w:rPr>
      </w:pPr>
      <w:r w:rsidRPr="0032458C">
        <w:rPr>
          <w:rFonts w:eastAsia="Calibri"/>
          <w:lang w:val="ro-RO"/>
        </w:rPr>
        <w:t>Conform art.6 alin.(3) din H.G. nr. 700/2012,</w:t>
      </w:r>
      <w:r w:rsidRPr="0032458C">
        <w:rPr>
          <w:rFonts w:eastAsia="Calibri" w:cs="Arial"/>
          <w:lang w:val="ro-RO"/>
        </w:rPr>
        <w:t xml:space="preserve"> numărul maxim de posturi aprobat este de 982, exclusiv demnitarii, din care pentru aparatul central 349, iar pentru comisariatele regionale pentru protecţia consumatorilor, 633. Din 96 funcții publice de conducere prevăzute în organigramă sunt ocupate cu titlu permanent un număr de 59 posturi.</w:t>
      </w:r>
    </w:p>
    <w:p w14:paraId="681D6FF2" w14:textId="77777777" w:rsidR="00977BC4" w:rsidRPr="0032458C" w:rsidRDefault="00977BC4" w:rsidP="00977BC4">
      <w:pPr>
        <w:tabs>
          <w:tab w:val="num" w:pos="0"/>
        </w:tabs>
        <w:spacing w:after="0"/>
        <w:ind w:left="0"/>
        <w:rPr>
          <w:rFonts w:eastAsia="Calibri"/>
          <w:b/>
          <w:lang w:val="ro-RO"/>
        </w:rPr>
      </w:pPr>
    </w:p>
    <w:p w14:paraId="4C5C8090" w14:textId="77777777" w:rsidR="00977BC4" w:rsidRPr="0032458C" w:rsidRDefault="00977BC4" w:rsidP="00977BC4">
      <w:pPr>
        <w:numPr>
          <w:ilvl w:val="0"/>
          <w:numId w:val="5"/>
        </w:numPr>
        <w:tabs>
          <w:tab w:val="num" w:pos="0"/>
        </w:tabs>
        <w:spacing w:before="120"/>
        <w:ind w:left="0" w:firstLine="0"/>
        <w:rPr>
          <w:rFonts w:eastAsia="Calibri"/>
          <w:b/>
          <w:bCs/>
          <w:lang w:val="ro-RO"/>
        </w:rPr>
      </w:pPr>
      <w:r w:rsidRPr="0032458C">
        <w:rPr>
          <w:rFonts w:eastAsia="Calibri"/>
          <w:b/>
          <w:bCs/>
          <w:lang w:val="ro-RO"/>
        </w:rPr>
        <w:t>Resursele alocate pentru cele 3 standarde supuse evaluării:</w:t>
      </w:r>
    </w:p>
    <w:p w14:paraId="13BCF280" w14:textId="77777777" w:rsidR="00977BC4" w:rsidRPr="0032458C" w:rsidRDefault="00977BC4" w:rsidP="00977BC4">
      <w:pPr>
        <w:tabs>
          <w:tab w:val="num" w:pos="0"/>
        </w:tabs>
        <w:ind w:left="0"/>
        <w:rPr>
          <w:rFonts w:eastAsia="Times New Roman"/>
          <w:b/>
          <w:lang w:val="ro-RO"/>
        </w:rPr>
      </w:pPr>
      <w:r w:rsidRPr="0032458C">
        <w:rPr>
          <w:rFonts w:eastAsia="Times New Roman"/>
          <w:b/>
          <w:lang w:val="ro-RO"/>
        </w:rPr>
        <w:t>a) resurse financiare, evidențiindu-le distinct pe cele alocate pentru pregătirea profesională</w:t>
      </w:r>
    </w:p>
    <w:p w14:paraId="52AFD857" w14:textId="77777777" w:rsidR="00977BC4" w:rsidRPr="0032458C" w:rsidRDefault="00977BC4" w:rsidP="00977BC4">
      <w:pPr>
        <w:tabs>
          <w:tab w:val="num" w:pos="0"/>
        </w:tabs>
        <w:ind w:left="0"/>
        <w:rPr>
          <w:rFonts w:eastAsia="Times New Roman"/>
          <w:b/>
          <w:lang w:val="ro-RO"/>
        </w:rPr>
      </w:pPr>
      <w:r w:rsidRPr="0032458C">
        <w:rPr>
          <w:rFonts w:eastAsia="Times New Roman"/>
          <w:b/>
          <w:lang w:val="ro-RO"/>
        </w:rPr>
        <w:t xml:space="preserve">b) resurse umane </w:t>
      </w:r>
    </w:p>
    <w:p w14:paraId="3F0B5227" w14:textId="4B04A904" w:rsidR="00977BC4" w:rsidRPr="0032458C" w:rsidRDefault="00977BC4" w:rsidP="00977BC4">
      <w:pPr>
        <w:tabs>
          <w:tab w:val="num" w:pos="0"/>
        </w:tabs>
        <w:ind w:left="0"/>
        <w:rPr>
          <w:rFonts w:eastAsia="Times New Roman"/>
          <w:b/>
          <w:color w:val="FF0000"/>
          <w:lang w:val="ro-RO"/>
        </w:rPr>
      </w:pPr>
      <w:r w:rsidRPr="0032458C">
        <w:rPr>
          <w:rFonts w:eastAsia="Times New Roman"/>
          <w:b/>
          <w:lang w:val="ro-RO"/>
        </w:rPr>
        <w:t>c) resurse materiale (calculatoare, spațiu pentru desfășurarea activității, acces la internet</w:t>
      </w:r>
      <w:r w:rsidR="002F22BA">
        <w:rPr>
          <w:rFonts w:eastAsia="Times New Roman"/>
          <w:b/>
          <w:lang w:val="ro-RO"/>
        </w:rPr>
        <w:t>,</w:t>
      </w:r>
      <w:r w:rsidRPr="0032458C">
        <w:rPr>
          <w:rFonts w:eastAsia="Times New Roman"/>
          <w:b/>
          <w:lang w:val="ro-RO"/>
        </w:rPr>
        <w:t xml:space="preserve"> etc.)</w:t>
      </w:r>
    </w:p>
    <w:p w14:paraId="305B8620" w14:textId="77777777" w:rsidR="00977BC4" w:rsidRPr="0032458C" w:rsidRDefault="00977BC4" w:rsidP="00977BC4">
      <w:pPr>
        <w:tabs>
          <w:tab w:val="num" w:pos="0"/>
        </w:tabs>
        <w:spacing w:after="0"/>
        <w:ind w:left="0"/>
        <w:rPr>
          <w:rFonts w:eastAsia="Times New Roman"/>
          <w:lang w:val="ro-RO"/>
        </w:rPr>
      </w:pPr>
      <w:r w:rsidRPr="0032458C">
        <w:rPr>
          <w:rFonts w:eastAsia="Times New Roman"/>
          <w:lang w:val="ro-RO"/>
        </w:rPr>
        <w:t>Nu au fost prevăzute resurse dedicate în exclusivitate pentru activitățile privind prevenirea corupției distincte față de cele alocate prin BVC pentru activitățile curente.</w:t>
      </w:r>
    </w:p>
    <w:p w14:paraId="423538F1" w14:textId="77777777" w:rsidR="00977BC4" w:rsidRPr="0032458C" w:rsidRDefault="00977BC4" w:rsidP="00977BC4">
      <w:pPr>
        <w:tabs>
          <w:tab w:val="num" w:pos="0"/>
        </w:tabs>
        <w:spacing w:after="0"/>
        <w:ind w:left="0"/>
        <w:rPr>
          <w:rFonts w:eastAsia="Times New Roman"/>
          <w:lang w:val="ro-RO"/>
        </w:rPr>
      </w:pPr>
    </w:p>
    <w:p w14:paraId="0ED63BB0" w14:textId="77777777" w:rsidR="00977BC4" w:rsidRPr="0032458C" w:rsidRDefault="00977BC4" w:rsidP="00977BC4">
      <w:pPr>
        <w:keepNext/>
        <w:keepLines/>
        <w:numPr>
          <w:ilvl w:val="0"/>
          <w:numId w:val="7"/>
        </w:numPr>
        <w:tabs>
          <w:tab w:val="num" w:pos="0"/>
        </w:tabs>
        <w:spacing w:before="120"/>
        <w:ind w:left="0" w:firstLine="0"/>
        <w:outlineLvl w:val="4"/>
        <w:rPr>
          <w:rFonts w:eastAsia="Times New Roman" w:cs="Arial"/>
          <w:b/>
          <w:bCs/>
          <w:i/>
          <w:lang w:val="ro-RO"/>
        </w:rPr>
      </w:pPr>
      <w:r w:rsidRPr="0032458C">
        <w:rPr>
          <w:rFonts w:eastAsia="Times New Roman" w:cs="Arial"/>
          <w:b/>
          <w:bCs/>
          <w:i/>
          <w:lang w:val="ro-RO"/>
        </w:rPr>
        <w:t>Scopul misiunii de evaluare</w:t>
      </w:r>
    </w:p>
    <w:p w14:paraId="4BBC8303" w14:textId="77777777" w:rsidR="00977BC4" w:rsidRPr="0032458C" w:rsidRDefault="00977BC4" w:rsidP="00977BC4">
      <w:pPr>
        <w:tabs>
          <w:tab w:val="num" w:pos="0"/>
        </w:tabs>
        <w:spacing w:before="120"/>
        <w:ind w:left="0"/>
        <w:rPr>
          <w:rFonts w:eastAsia="Calibri"/>
          <w:lang w:val="ro-RO"/>
        </w:rPr>
      </w:pPr>
      <w:r w:rsidRPr="0032458C">
        <w:rPr>
          <w:rFonts w:eastAsia="Calibri"/>
          <w:lang w:val="ro-RO"/>
        </w:rPr>
        <w:t xml:space="preserve">Prin Hotărârea Guvernului nr. 1269/2021 au fost aprobate </w:t>
      </w:r>
      <w:r w:rsidRPr="0032458C">
        <w:rPr>
          <w:rFonts w:eastAsia="Calibri"/>
          <w:i/>
          <w:lang w:val="ro-RO"/>
        </w:rPr>
        <w:t>Strategia Națională Anticorupție (SNA) 2021-2025</w:t>
      </w:r>
      <w:r w:rsidRPr="0032458C">
        <w:rPr>
          <w:rFonts w:eastAsia="Calibri"/>
          <w:lang w:val="ro-RO"/>
        </w:rPr>
        <w:t xml:space="preserve"> și documentele aferente acesteia.</w:t>
      </w:r>
    </w:p>
    <w:p w14:paraId="19FAED26" w14:textId="77777777" w:rsidR="00977BC4" w:rsidRPr="0032458C" w:rsidRDefault="00977BC4" w:rsidP="00977BC4">
      <w:pPr>
        <w:tabs>
          <w:tab w:val="num" w:pos="0"/>
        </w:tabs>
        <w:spacing w:before="120"/>
        <w:ind w:left="0"/>
        <w:rPr>
          <w:rFonts w:eastAsia="Calibri"/>
          <w:lang w:val="ro-RO"/>
        </w:rPr>
      </w:pPr>
      <w:r w:rsidRPr="0032458C">
        <w:rPr>
          <w:rFonts w:eastAsia="Calibri"/>
          <w:lang w:val="ro-RO"/>
        </w:rPr>
        <w:t xml:space="preserve">Potrivit art. 11 și 12 din </w:t>
      </w:r>
      <w:r w:rsidRPr="0032458C">
        <w:rPr>
          <w:rFonts w:eastAsia="Calibri"/>
          <w:i/>
          <w:iCs/>
          <w:lang w:val="ro-RO"/>
        </w:rPr>
        <w:t>Metodologia de monitorizare a implementării SNA 2021-2025</w:t>
      </w:r>
      <w:r w:rsidRPr="0032458C">
        <w:rPr>
          <w:rFonts w:eastAsia="Calibri"/>
          <w:lang w:val="ro-RO"/>
        </w:rPr>
        <w:t>, aprobată prin Ordinul Ministrului Justiției nr. 2046/2022, în cadrul reuniunilor desfășurate în luna decembrie 2022, platformele de cooperare au aprobat temele de evaluare tematică și instituțiile ce urmează a fi supuse evaluării în anul 2023.</w:t>
      </w:r>
    </w:p>
    <w:p w14:paraId="4A68833A" w14:textId="77777777" w:rsidR="00977BC4" w:rsidRPr="0032458C" w:rsidRDefault="00977BC4" w:rsidP="00977BC4">
      <w:pPr>
        <w:tabs>
          <w:tab w:val="num" w:pos="0"/>
        </w:tabs>
        <w:spacing w:before="120"/>
        <w:ind w:left="0"/>
        <w:rPr>
          <w:rFonts w:eastAsia="Calibri"/>
          <w:lang w:val="ro-RO"/>
        </w:rPr>
      </w:pPr>
      <w:r w:rsidRPr="0032458C">
        <w:rPr>
          <w:rFonts w:eastAsia="Calibri"/>
          <w:lang w:val="ro-RO"/>
        </w:rPr>
        <w:t xml:space="preserve">Temele care fac obiectul misiunilor de evaluare tematică în anul 2023 sunt: </w:t>
      </w:r>
    </w:p>
    <w:p w14:paraId="267F194B" w14:textId="77777777" w:rsidR="00977BC4" w:rsidRPr="0032458C" w:rsidRDefault="00977BC4" w:rsidP="00977BC4">
      <w:pPr>
        <w:numPr>
          <w:ilvl w:val="1"/>
          <w:numId w:val="6"/>
        </w:numPr>
        <w:tabs>
          <w:tab w:val="num" w:pos="0"/>
        </w:tabs>
        <w:spacing w:before="120"/>
        <w:ind w:left="0" w:firstLine="0"/>
        <w:rPr>
          <w:rFonts w:eastAsia="Calibri"/>
          <w:lang w:val="ro-RO"/>
        </w:rPr>
      </w:pPr>
      <w:r w:rsidRPr="0032458C">
        <w:rPr>
          <w:rFonts w:eastAsia="Calibri"/>
          <w:lang w:val="ro-RO"/>
        </w:rPr>
        <w:t xml:space="preserve">evaluarea riscurilor de corupție în cadrul autorităților și instituțiilor publice centrale și locale; </w:t>
      </w:r>
    </w:p>
    <w:p w14:paraId="74FA2830" w14:textId="77777777" w:rsidR="00977BC4" w:rsidRPr="0032458C" w:rsidRDefault="00977BC4" w:rsidP="00977BC4">
      <w:pPr>
        <w:numPr>
          <w:ilvl w:val="1"/>
          <w:numId w:val="6"/>
        </w:numPr>
        <w:tabs>
          <w:tab w:val="num" w:pos="0"/>
        </w:tabs>
        <w:spacing w:before="120"/>
        <w:ind w:left="0" w:firstLine="0"/>
        <w:rPr>
          <w:rFonts w:eastAsia="Calibri"/>
          <w:lang w:val="ro-RO"/>
        </w:rPr>
      </w:pPr>
      <w:r w:rsidRPr="0032458C">
        <w:rPr>
          <w:rFonts w:eastAsia="Calibri"/>
          <w:lang w:val="ro-RO"/>
        </w:rPr>
        <w:t>evaluarea incidentelor de integritate în cadrul autorităților și instituțiilor publice centrale și locale;</w:t>
      </w:r>
    </w:p>
    <w:p w14:paraId="3BE4A064" w14:textId="77777777" w:rsidR="00977BC4" w:rsidRPr="0032458C" w:rsidRDefault="00977BC4" w:rsidP="00977BC4">
      <w:pPr>
        <w:numPr>
          <w:ilvl w:val="1"/>
          <w:numId w:val="6"/>
        </w:numPr>
        <w:tabs>
          <w:tab w:val="num" w:pos="0"/>
        </w:tabs>
        <w:spacing w:before="120"/>
        <w:ind w:left="0" w:firstLine="0"/>
        <w:rPr>
          <w:rFonts w:eastAsia="Calibri"/>
          <w:lang w:val="ro-RO"/>
        </w:rPr>
      </w:pPr>
      <w:r w:rsidRPr="0032458C">
        <w:rPr>
          <w:rFonts w:eastAsia="Calibri"/>
          <w:lang w:val="ro-RO"/>
        </w:rPr>
        <w:t>gestionarea mecanismului de implementare a SNA de către instituțiile publice (inclusiv întreprinderi publice).</w:t>
      </w:r>
    </w:p>
    <w:p w14:paraId="4CE9E5FB" w14:textId="77777777" w:rsidR="00977BC4" w:rsidRPr="0032458C" w:rsidRDefault="00977BC4" w:rsidP="00977BC4">
      <w:pPr>
        <w:tabs>
          <w:tab w:val="num" w:pos="0"/>
        </w:tabs>
        <w:spacing w:before="120" w:after="0"/>
        <w:ind w:left="0"/>
        <w:rPr>
          <w:rFonts w:eastAsia="Calibri"/>
          <w:lang w:val="ro-RO"/>
        </w:rPr>
      </w:pPr>
      <w:r w:rsidRPr="0032458C">
        <w:rPr>
          <w:rFonts w:eastAsia="Calibri"/>
          <w:lang w:val="ro-RO"/>
        </w:rPr>
        <w:t>Obiectivele procesului de monitorizare sunt:</w:t>
      </w:r>
    </w:p>
    <w:p w14:paraId="4428BD3A" w14:textId="77777777" w:rsidR="00977BC4" w:rsidRPr="0032458C" w:rsidRDefault="00977BC4" w:rsidP="00977BC4">
      <w:pPr>
        <w:numPr>
          <w:ilvl w:val="0"/>
          <w:numId w:val="4"/>
        </w:numPr>
        <w:tabs>
          <w:tab w:val="num" w:pos="0"/>
        </w:tabs>
        <w:spacing w:before="120"/>
        <w:ind w:left="0" w:firstLine="0"/>
        <w:contextualSpacing/>
        <w:rPr>
          <w:lang w:val="ro-RO"/>
        </w:rPr>
      </w:pPr>
      <w:r w:rsidRPr="0032458C">
        <w:rPr>
          <w:lang w:val="ro-RO"/>
        </w:rPr>
        <w:t>Identificarea progreselor înregistrate în implementarea SNA;</w:t>
      </w:r>
    </w:p>
    <w:p w14:paraId="69F03B40" w14:textId="77777777" w:rsidR="00977BC4" w:rsidRPr="0032458C" w:rsidRDefault="00977BC4" w:rsidP="00977BC4">
      <w:pPr>
        <w:numPr>
          <w:ilvl w:val="0"/>
          <w:numId w:val="4"/>
        </w:numPr>
        <w:tabs>
          <w:tab w:val="num" w:pos="0"/>
        </w:tabs>
        <w:spacing w:before="120"/>
        <w:ind w:left="0" w:firstLine="0"/>
        <w:contextualSpacing/>
        <w:rPr>
          <w:lang w:val="ro-RO"/>
        </w:rPr>
      </w:pPr>
      <w:r w:rsidRPr="0032458C">
        <w:rPr>
          <w:lang w:val="ro-RO"/>
        </w:rPr>
        <w:t>Identificarea și corectarea problemelor practice apărute în aplicarea politicilor și normelor anticorupție;</w:t>
      </w:r>
    </w:p>
    <w:p w14:paraId="401DF6A5" w14:textId="77777777" w:rsidR="00977BC4" w:rsidRPr="0032458C" w:rsidRDefault="00977BC4" w:rsidP="00977BC4">
      <w:pPr>
        <w:numPr>
          <w:ilvl w:val="0"/>
          <w:numId w:val="4"/>
        </w:numPr>
        <w:tabs>
          <w:tab w:val="num" w:pos="0"/>
        </w:tabs>
        <w:spacing w:before="120"/>
        <w:ind w:left="0" w:firstLine="0"/>
        <w:contextualSpacing/>
        <w:rPr>
          <w:lang w:val="ro-RO"/>
        </w:rPr>
      </w:pPr>
      <w:r w:rsidRPr="0032458C">
        <w:rPr>
          <w:lang w:val="ro-RO"/>
        </w:rPr>
        <w:t>Creșterea gradului de cunoaștere, înțelegere și implementare a măsurilor de prevenire a corupției, în sectorul public și privat.</w:t>
      </w:r>
    </w:p>
    <w:p w14:paraId="588BDD19" w14:textId="77777777" w:rsidR="00977BC4" w:rsidRPr="0032458C" w:rsidRDefault="00977BC4" w:rsidP="00977BC4">
      <w:pPr>
        <w:tabs>
          <w:tab w:val="num" w:pos="0"/>
        </w:tabs>
        <w:spacing w:before="120"/>
        <w:ind w:left="0"/>
        <w:rPr>
          <w:rFonts w:eastAsia="Calibri"/>
          <w:lang w:val="ro-RO"/>
        </w:rPr>
      </w:pPr>
      <w:r w:rsidRPr="0032458C">
        <w:rPr>
          <w:rFonts w:eastAsia="Calibri"/>
          <w:lang w:val="ro-RO"/>
        </w:rPr>
        <w:t>Procedura evaluării a constat în completarea chestionarului tematic de evaluare transmis la data de 27 martie 2023, organizarea vizitei de evaluare la sediul Autorității Naționale pentru Protecția Consumatorilor</w:t>
      </w:r>
      <w:r w:rsidRPr="0032458C">
        <w:rPr>
          <w:rFonts w:eastAsia="Times New Roman"/>
          <w:shd w:val="clear" w:color="auto" w:fill="FFFFFF"/>
          <w:lang w:val="ro-RO"/>
        </w:rPr>
        <w:t xml:space="preserve">, </w:t>
      </w:r>
      <w:r w:rsidRPr="0032458C">
        <w:rPr>
          <w:rFonts w:eastAsia="Calibri"/>
          <w:lang w:val="ro-RO"/>
        </w:rPr>
        <w:t xml:space="preserve">în data de 24 aprilie 2023, și redactarea raportului de evaluare. </w:t>
      </w:r>
    </w:p>
    <w:p w14:paraId="08ADFB07" w14:textId="77777777" w:rsidR="00977BC4" w:rsidRPr="0032458C" w:rsidRDefault="00977BC4" w:rsidP="00977BC4">
      <w:pPr>
        <w:tabs>
          <w:tab w:val="num" w:pos="0"/>
        </w:tabs>
        <w:spacing w:before="120"/>
        <w:ind w:left="0"/>
        <w:rPr>
          <w:rFonts w:eastAsia="Calibri"/>
          <w:lang w:val="ro-RO"/>
        </w:rPr>
      </w:pPr>
    </w:p>
    <w:p w14:paraId="1583E116" w14:textId="77777777" w:rsidR="00977BC4" w:rsidRPr="0032458C" w:rsidRDefault="00977BC4" w:rsidP="00977BC4">
      <w:pPr>
        <w:keepNext/>
        <w:keepLines/>
        <w:numPr>
          <w:ilvl w:val="0"/>
          <w:numId w:val="3"/>
        </w:numPr>
        <w:tabs>
          <w:tab w:val="num" w:pos="0"/>
        </w:tabs>
        <w:spacing w:before="120"/>
        <w:ind w:left="0" w:firstLine="0"/>
        <w:outlineLvl w:val="4"/>
        <w:rPr>
          <w:rFonts w:eastAsia="Times New Roman" w:cs="Arial"/>
          <w:b/>
          <w:bCs/>
          <w:i/>
          <w:lang w:val="ro-RO"/>
        </w:rPr>
      </w:pPr>
      <w:r w:rsidRPr="0032458C">
        <w:rPr>
          <w:rFonts w:eastAsia="Times New Roman" w:cs="Arial"/>
          <w:b/>
          <w:bCs/>
          <w:i/>
          <w:lang w:val="ro-RO"/>
        </w:rPr>
        <w:lastRenderedPageBreak/>
        <w:t>Componența echipei de evaluare</w:t>
      </w:r>
    </w:p>
    <w:p w14:paraId="7F5EBC8A" w14:textId="77777777" w:rsidR="00977BC4" w:rsidRPr="0032458C" w:rsidRDefault="00977BC4" w:rsidP="00977BC4">
      <w:pPr>
        <w:tabs>
          <w:tab w:val="num" w:pos="0"/>
        </w:tabs>
        <w:spacing w:before="120"/>
        <w:ind w:left="0"/>
        <w:rPr>
          <w:rFonts w:eastAsia="Times New Roman" w:cs="Arial"/>
          <w:b/>
          <w:bCs/>
          <w:lang w:val="ro-RO"/>
        </w:rPr>
      </w:pPr>
      <w:r w:rsidRPr="0032458C">
        <w:rPr>
          <w:rFonts w:eastAsia="Times New Roman" w:cs="Arial"/>
          <w:b/>
          <w:bCs/>
          <w:lang w:val="ro-RO"/>
        </w:rPr>
        <w:t>Echipa de evaluare a fost compusă din 6 persoane:</w:t>
      </w:r>
    </w:p>
    <w:p w14:paraId="7073F922" w14:textId="77777777" w:rsidR="00977BC4" w:rsidRPr="0032458C" w:rsidRDefault="00977BC4" w:rsidP="00977BC4">
      <w:pPr>
        <w:numPr>
          <w:ilvl w:val="0"/>
          <w:numId w:val="2"/>
        </w:numPr>
        <w:tabs>
          <w:tab w:val="num" w:pos="0"/>
        </w:tabs>
        <w:spacing w:before="120"/>
        <w:ind w:left="0" w:firstLine="0"/>
        <w:rPr>
          <w:rFonts w:eastAsia="Calibri"/>
          <w:bCs/>
          <w:lang w:val="ro-RO"/>
        </w:rPr>
      </w:pPr>
      <w:r w:rsidRPr="0032458C">
        <w:rPr>
          <w:rFonts w:eastAsia="Calibri"/>
          <w:bCs/>
          <w:lang w:val="ro-RO"/>
        </w:rPr>
        <w:t>D-na. Oana Bănățeanu - Head of Ethics&amp;Business Integrity Romania, act. Greece and Cyprus - Sanofi Romania SRL,</w:t>
      </w:r>
      <w:r w:rsidRPr="0032458C">
        <w:rPr>
          <w:rFonts w:eastAsia="Calibri"/>
          <w:lang w:val="ro-RO"/>
        </w:rPr>
        <w:t xml:space="preserve"> </w:t>
      </w:r>
      <w:bookmarkStart w:id="1" w:name="_Hlk150194503"/>
      <w:r w:rsidRPr="0032458C">
        <w:rPr>
          <w:rFonts w:eastAsia="Calibri"/>
          <w:bCs/>
          <w:lang w:val="ro-RO"/>
        </w:rPr>
        <w:t>expert evaluator din partea platformei de cooperare a mediului de afaceri;</w:t>
      </w:r>
      <w:bookmarkEnd w:id="1"/>
    </w:p>
    <w:p w14:paraId="2C29890F" w14:textId="77777777" w:rsidR="00977BC4" w:rsidRPr="0032458C" w:rsidRDefault="00977BC4" w:rsidP="00977BC4">
      <w:pPr>
        <w:numPr>
          <w:ilvl w:val="0"/>
          <w:numId w:val="2"/>
        </w:numPr>
        <w:tabs>
          <w:tab w:val="num" w:pos="0"/>
        </w:tabs>
        <w:spacing w:before="120"/>
        <w:ind w:left="0" w:firstLine="0"/>
        <w:rPr>
          <w:rFonts w:eastAsia="Calibri"/>
          <w:lang w:val="ro-RO"/>
        </w:rPr>
      </w:pPr>
      <w:r w:rsidRPr="0032458C">
        <w:rPr>
          <w:rFonts w:eastAsia="Calibri"/>
          <w:lang w:val="ro-RO"/>
        </w:rPr>
        <w:t>D-na Georgeta Filip  – Specialist relații publice, Transparency International Romania, expert evaluator din partea platformei societății civile;</w:t>
      </w:r>
    </w:p>
    <w:p w14:paraId="507BDA17" w14:textId="77777777" w:rsidR="00977BC4" w:rsidRPr="0032458C" w:rsidRDefault="00977BC4" w:rsidP="00977BC4">
      <w:pPr>
        <w:numPr>
          <w:ilvl w:val="0"/>
          <w:numId w:val="2"/>
        </w:numPr>
        <w:tabs>
          <w:tab w:val="num" w:pos="0"/>
        </w:tabs>
        <w:spacing w:before="120"/>
        <w:ind w:left="0" w:firstLine="0"/>
        <w:rPr>
          <w:rFonts w:eastAsia="Calibri"/>
          <w:bCs/>
          <w:lang w:val="ro-RO"/>
        </w:rPr>
      </w:pPr>
      <w:r w:rsidRPr="0032458C">
        <w:rPr>
          <w:rFonts w:eastAsia="Calibri"/>
          <w:bCs/>
          <w:lang w:val="ro-RO"/>
        </w:rPr>
        <w:t xml:space="preserve">Dl. Ciprian Ghițuleasa – Direcția Generală Anticorupție, expert din cadrul platformei platformei autorităților independente și a instituțiilor anticorupție; </w:t>
      </w:r>
    </w:p>
    <w:p w14:paraId="3A6A95CC" w14:textId="77777777" w:rsidR="00977BC4" w:rsidRPr="0032458C" w:rsidRDefault="00977BC4" w:rsidP="00977BC4">
      <w:pPr>
        <w:numPr>
          <w:ilvl w:val="0"/>
          <w:numId w:val="2"/>
        </w:numPr>
        <w:tabs>
          <w:tab w:val="num" w:pos="0"/>
        </w:tabs>
        <w:spacing w:before="120"/>
        <w:ind w:left="0" w:firstLine="0"/>
        <w:contextualSpacing/>
        <w:rPr>
          <w:shd w:val="clear" w:color="auto" w:fill="FFFFFF"/>
          <w:lang w:val="ro-RO"/>
        </w:rPr>
      </w:pPr>
      <w:r w:rsidRPr="0032458C">
        <w:rPr>
          <w:rFonts w:eastAsia="Calibri"/>
          <w:bCs/>
          <w:lang w:val="ro-RO"/>
        </w:rPr>
        <w:t xml:space="preserve">Dl. Adrian Dumitru, </w:t>
      </w:r>
      <w:bookmarkStart w:id="2" w:name="_Hlk24387165"/>
      <w:r w:rsidRPr="0032458C">
        <w:rPr>
          <w:rFonts w:eastAsia="Calibri"/>
          <w:bCs/>
          <w:lang w:val="ro-RO"/>
        </w:rPr>
        <w:t>personal de specialitate juridică asimilat judecătorilor și procurorilor</w:t>
      </w:r>
      <w:bookmarkEnd w:id="2"/>
      <w:r w:rsidRPr="0032458C">
        <w:rPr>
          <w:rFonts w:eastAsia="Calibri"/>
          <w:bCs/>
          <w:lang w:val="ro-RO"/>
        </w:rPr>
        <w:t>, Ministerul</w:t>
      </w:r>
      <w:r w:rsidRPr="0032458C">
        <w:rPr>
          <w:shd w:val="clear" w:color="auto" w:fill="FFFFFF"/>
          <w:lang w:val="ro-RO"/>
        </w:rPr>
        <w:t xml:space="preserve"> Justiției, expert evaluator din partea platformei administrației publice centrale;</w:t>
      </w:r>
    </w:p>
    <w:p w14:paraId="439A7C69" w14:textId="77777777" w:rsidR="006C2336" w:rsidRDefault="006C2336" w:rsidP="00977BC4">
      <w:pPr>
        <w:tabs>
          <w:tab w:val="num" w:pos="0"/>
        </w:tabs>
        <w:spacing w:after="0"/>
        <w:ind w:left="0"/>
        <w:rPr>
          <w:rFonts w:eastAsia="Times New Roman" w:cs="Arial"/>
          <w:b/>
          <w:bCs/>
          <w:lang w:val="ro-RO"/>
        </w:rPr>
      </w:pPr>
    </w:p>
    <w:p w14:paraId="26018D1A" w14:textId="354217DE" w:rsidR="00977BC4" w:rsidRPr="0032458C" w:rsidRDefault="00977BC4" w:rsidP="00977BC4">
      <w:pPr>
        <w:tabs>
          <w:tab w:val="num" w:pos="0"/>
        </w:tabs>
        <w:spacing w:after="0"/>
        <w:ind w:left="0"/>
        <w:rPr>
          <w:rFonts w:eastAsia="Calibri" w:cs="Tahoma"/>
          <w:b/>
          <w:bCs/>
          <w:shd w:val="clear" w:color="auto" w:fill="FFFFFF"/>
          <w:lang w:val="ro-RO"/>
        </w:rPr>
      </w:pPr>
      <w:r w:rsidRPr="0032458C">
        <w:rPr>
          <w:rFonts w:eastAsia="Times New Roman" w:cs="Arial"/>
          <w:b/>
          <w:bCs/>
          <w:lang w:val="ro-RO"/>
        </w:rPr>
        <w:t xml:space="preserve">Reprezentanții </w:t>
      </w:r>
      <w:r w:rsidRPr="0032458C">
        <w:rPr>
          <w:rFonts w:eastAsia="Calibri"/>
          <w:b/>
          <w:bCs/>
          <w:lang w:val="ro-RO"/>
        </w:rPr>
        <w:t xml:space="preserve">Autorității Naționale pentru Protecția Consumatorilor </w:t>
      </w:r>
      <w:r w:rsidRPr="0032458C">
        <w:rPr>
          <w:rFonts w:eastAsia="Times New Roman" w:cs="Arial"/>
          <w:b/>
          <w:bCs/>
          <w:lang w:val="ro-RO"/>
        </w:rPr>
        <w:t>care au luat parte la întâlnire au fost:</w:t>
      </w:r>
      <w:r w:rsidRPr="0032458C">
        <w:rPr>
          <w:rFonts w:eastAsia="Calibri" w:cs="Tahoma"/>
          <w:b/>
          <w:bCs/>
          <w:shd w:val="clear" w:color="auto" w:fill="FFFFFF"/>
          <w:lang w:val="ro-RO"/>
        </w:rPr>
        <w:t xml:space="preserve"> </w:t>
      </w:r>
    </w:p>
    <w:p w14:paraId="248ED7B1" w14:textId="4AF10CF9" w:rsidR="00977BC4" w:rsidRPr="006C2336" w:rsidRDefault="00977BC4" w:rsidP="00977BC4">
      <w:pPr>
        <w:numPr>
          <w:ilvl w:val="0"/>
          <w:numId w:val="36"/>
        </w:numPr>
        <w:tabs>
          <w:tab w:val="num" w:pos="0"/>
        </w:tabs>
        <w:spacing w:before="120"/>
        <w:ind w:left="0" w:firstLine="0"/>
        <w:rPr>
          <w:rFonts w:eastAsia="Calibri" w:cs="Tahoma"/>
          <w:shd w:val="clear" w:color="auto" w:fill="FFFFFF"/>
          <w:lang w:val="ro-RO"/>
        </w:rPr>
      </w:pPr>
      <w:r w:rsidRPr="006C2336">
        <w:rPr>
          <w:rFonts w:eastAsia="Calibri" w:cs="Tahoma"/>
          <w:shd w:val="clear" w:color="auto" w:fill="FFFFFF"/>
          <w:lang w:val="ro-RO"/>
        </w:rPr>
        <w:t>Auditor public Intern în cadrul Autorității Naționale pentru Protecția Consumatorilor -  Compartimentul Audit Public Intern</w:t>
      </w:r>
    </w:p>
    <w:p w14:paraId="16F57273" w14:textId="67388F9C" w:rsidR="00977BC4" w:rsidRPr="006C2336" w:rsidRDefault="00977BC4" w:rsidP="00977BC4">
      <w:pPr>
        <w:numPr>
          <w:ilvl w:val="0"/>
          <w:numId w:val="36"/>
        </w:numPr>
        <w:tabs>
          <w:tab w:val="num" w:pos="0"/>
        </w:tabs>
        <w:spacing w:before="120"/>
        <w:ind w:left="0" w:firstLine="0"/>
        <w:rPr>
          <w:rFonts w:eastAsia="Calibri" w:cs="Tahoma"/>
          <w:shd w:val="clear" w:color="auto" w:fill="FFFFFF"/>
          <w:lang w:val="ro-RO"/>
        </w:rPr>
      </w:pPr>
      <w:r w:rsidRPr="006C2336">
        <w:rPr>
          <w:rFonts w:eastAsia="Calibri" w:cs="Tahoma"/>
          <w:shd w:val="clear" w:color="auto" w:fill="FFFFFF"/>
          <w:lang w:val="ro-RO"/>
        </w:rPr>
        <w:t xml:space="preserve">Secretarul Grupului de lucru pentru implementarea Metodologiei standard de evaluare a riscurilor de corupție în cadrul ANPC și responsabil cu implementarea Metodologiei de evaluare a incidentelor de integritate în cadrul ANPC </w:t>
      </w:r>
    </w:p>
    <w:p w14:paraId="346FD4D3" w14:textId="77777777" w:rsidR="00977BC4" w:rsidRPr="0032458C" w:rsidRDefault="00977BC4" w:rsidP="00977BC4">
      <w:pPr>
        <w:tabs>
          <w:tab w:val="num" w:pos="0"/>
        </w:tabs>
        <w:spacing w:before="120"/>
        <w:ind w:left="0"/>
        <w:contextualSpacing/>
        <w:rPr>
          <w:rFonts w:cs="Tahoma"/>
          <w:b/>
          <w:bCs/>
          <w:shd w:val="clear" w:color="auto" w:fill="FFFFFF"/>
          <w:lang w:val="ro-RO"/>
        </w:rPr>
      </w:pPr>
      <w:r w:rsidRPr="0032458C">
        <w:rPr>
          <w:rFonts w:eastAsia="Times New Roman" w:cs="Arial"/>
          <w:b/>
          <w:bCs/>
          <w:lang w:val="ro-RO"/>
        </w:rPr>
        <w:t>Din partea Secretariatului tehnic al SNA a participat:</w:t>
      </w:r>
    </w:p>
    <w:p w14:paraId="41446BC8" w14:textId="0B8F4BDA" w:rsidR="00977BC4" w:rsidRPr="0032458C" w:rsidRDefault="00977BC4" w:rsidP="00977BC4">
      <w:pPr>
        <w:numPr>
          <w:ilvl w:val="0"/>
          <w:numId w:val="2"/>
        </w:numPr>
        <w:tabs>
          <w:tab w:val="num" w:pos="0"/>
        </w:tabs>
        <w:spacing w:before="120"/>
        <w:ind w:left="0" w:firstLine="0"/>
        <w:contextualSpacing/>
        <w:rPr>
          <w:shd w:val="clear" w:color="auto" w:fill="FFFFFF"/>
          <w:lang w:val="ro-RO"/>
        </w:rPr>
      </w:pPr>
      <w:r w:rsidRPr="0032458C">
        <w:rPr>
          <w:rFonts w:eastAsia="Times New Roman" w:cs="Arial"/>
          <w:lang w:val="ro-RO"/>
        </w:rPr>
        <w:t>D</w:t>
      </w:r>
      <w:r w:rsidRPr="0032458C">
        <w:rPr>
          <w:shd w:val="clear" w:color="auto" w:fill="FFFFFF"/>
          <w:lang w:val="ro-RO"/>
        </w:rPr>
        <w:t xml:space="preserve">-na. Cristina </w:t>
      </w:r>
      <w:r w:rsidR="006C2336" w:rsidRPr="0032458C">
        <w:rPr>
          <w:shd w:val="clear" w:color="auto" w:fill="FFFFFF"/>
          <w:lang w:val="ro-RO"/>
        </w:rPr>
        <w:t>Liță</w:t>
      </w:r>
      <w:r w:rsidRPr="0032458C">
        <w:rPr>
          <w:shd w:val="clear" w:color="auto" w:fill="FFFFFF"/>
          <w:lang w:val="ro-RO"/>
        </w:rPr>
        <w:t>, consilier superior, Ministerul Justiției, reprezentant al Secretariatului tehnic al SNA.</w:t>
      </w:r>
    </w:p>
    <w:p w14:paraId="78E7BC48" w14:textId="77777777" w:rsidR="00977BC4" w:rsidRPr="0032458C" w:rsidRDefault="00977BC4" w:rsidP="00977BC4">
      <w:pPr>
        <w:tabs>
          <w:tab w:val="num" w:pos="0"/>
        </w:tabs>
        <w:ind w:left="0"/>
        <w:rPr>
          <w:rFonts w:eastAsia="Times New Roman" w:cs="Arial"/>
          <w:lang w:val="ro-RO"/>
        </w:rPr>
      </w:pPr>
    </w:p>
    <w:p w14:paraId="0F7BD65A" w14:textId="77777777" w:rsidR="00977BC4" w:rsidRPr="0032458C" w:rsidRDefault="00977BC4" w:rsidP="00977BC4">
      <w:pPr>
        <w:pBdr>
          <w:top w:val="single" w:sz="4" w:space="1" w:color="auto"/>
          <w:left w:val="single" w:sz="4" w:space="4" w:color="auto"/>
          <w:bottom w:val="single" w:sz="4" w:space="1" w:color="auto"/>
          <w:right w:val="single" w:sz="4" w:space="4" w:color="auto"/>
        </w:pBdr>
        <w:tabs>
          <w:tab w:val="num" w:pos="0"/>
        </w:tabs>
        <w:spacing w:before="120" w:after="0"/>
        <w:ind w:left="0"/>
        <w:rPr>
          <w:rFonts w:eastAsia="Times New Roman" w:cs="Arial"/>
          <w:b/>
          <w:lang w:val="ro-RO"/>
        </w:rPr>
      </w:pPr>
      <w:r w:rsidRPr="0032458C">
        <w:rPr>
          <w:rFonts w:eastAsia="Times New Roman" w:cs="Arial"/>
          <w:b/>
          <w:lang w:val="ro-RO"/>
        </w:rPr>
        <w:t>II. CONSTATĂRI</w:t>
      </w:r>
    </w:p>
    <w:p w14:paraId="1CDB05DA" w14:textId="77777777" w:rsidR="00977BC4" w:rsidRPr="0032458C" w:rsidRDefault="00977BC4" w:rsidP="00977BC4">
      <w:pPr>
        <w:numPr>
          <w:ilvl w:val="0"/>
          <w:numId w:val="8"/>
        </w:numPr>
        <w:tabs>
          <w:tab w:val="num" w:pos="0"/>
        </w:tabs>
        <w:spacing w:before="120" w:after="0"/>
        <w:ind w:left="0" w:firstLine="0"/>
        <w:rPr>
          <w:rFonts w:eastAsia="Times New Roman" w:cs="Arial"/>
          <w:b/>
          <w:bCs/>
          <w:lang w:val="ro-RO"/>
        </w:rPr>
      </w:pPr>
      <w:r w:rsidRPr="0032458C">
        <w:rPr>
          <w:rFonts w:eastAsia="Times New Roman" w:cs="Arial"/>
          <w:b/>
          <w:bCs/>
          <w:lang w:val="ro-RO"/>
        </w:rPr>
        <w:t xml:space="preserve">EVALUAREA RISCURILOR DE CORUPȚIE ÎN CADRUL AUTORITĂȚILOR ȘI INSTITUȚIILOR PUBLICE CENTRALE ȘI LOCALE </w:t>
      </w:r>
    </w:p>
    <w:p w14:paraId="4D4EBEDF" w14:textId="77777777" w:rsidR="00977BC4" w:rsidRPr="0032458C" w:rsidRDefault="00977BC4" w:rsidP="00977BC4">
      <w:pPr>
        <w:tabs>
          <w:tab w:val="num" w:pos="0"/>
        </w:tabs>
        <w:autoSpaceDE w:val="0"/>
        <w:autoSpaceDN w:val="0"/>
        <w:adjustRightInd w:val="0"/>
        <w:spacing w:after="0"/>
        <w:ind w:left="0"/>
        <w:rPr>
          <w:rFonts w:eastAsia="Times New Roman" w:cs="Helvetica"/>
          <w:bCs/>
          <w:color w:val="000000"/>
          <w:lang w:val="ro-RO"/>
        </w:rPr>
      </w:pPr>
      <w:r w:rsidRPr="0032458C">
        <w:rPr>
          <w:rFonts w:eastAsia="Times New Roman" w:cs="Helvetica"/>
          <w:bCs/>
          <w:color w:val="000000"/>
          <w:lang w:val="ro-RO"/>
        </w:rPr>
        <w:t xml:space="preserve">La nivelul ANPC a fost constituit Grupul de lucru pentru implementarea metodologiei (conform art. 6 din Metodologia standard de evaluare a riscurilor de corupţie în cadrul autorităţilor şi instituțiilor publice centrale, aprobată prin Hotărârea Guvernului nr. 599/2018), prin </w:t>
      </w:r>
      <w:r w:rsidRPr="006C2336">
        <w:rPr>
          <w:rFonts w:eastAsia="Times New Roman" w:cs="Helvetica"/>
          <w:color w:val="000000"/>
          <w:lang w:val="ro-RO"/>
        </w:rPr>
        <w:t>Ordinul Președintelui ANPC nr. 101/22.02.2022.</w:t>
      </w:r>
      <w:r w:rsidRPr="0032458C">
        <w:rPr>
          <w:rFonts w:eastAsia="Times New Roman" w:cs="Helvetica"/>
          <w:bCs/>
          <w:color w:val="000000"/>
          <w:lang w:val="ro-RO"/>
        </w:rPr>
        <w:t xml:space="preserve"> Din Grupul de lucru fac parte șase persoane, având următoarele funcții: Secretar General al ANPC; șef Serviciul Resurse Umane; șef Serviciul Juridic; consilier de etică; consilier de integritate; consilier la Direcția de Insolvență a Persoanelor Fizice, cu rol de secretar al grupului de lucru.</w:t>
      </w:r>
    </w:p>
    <w:p w14:paraId="6EEE4D38" w14:textId="77777777" w:rsidR="00977BC4" w:rsidRPr="0032458C" w:rsidRDefault="00977BC4" w:rsidP="00977BC4">
      <w:pPr>
        <w:tabs>
          <w:tab w:val="num" w:pos="0"/>
        </w:tabs>
        <w:autoSpaceDE w:val="0"/>
        <w:autoSpaceDN w:val="0"/>
        <w:adjustRightInd w:val="0"/>
        <w:spacing w:after="0"/>
        <w:ind w:left="0"/>
        <w:rPr>
          <w:rFonts w:eastAsia="Times New Roman" w:cs="Helvetica"/>
          <w:bCs/>
          <w:color w:val="000000"/>
          <w:lang w:val="ro-RO"/>
        </w:rPr>
      </w:pPr>
      <w:r w:rsidRPr="0032458C">
        <w:rPr>
          <w:rFonts w:eastAsia="Times New Roman" w:cs="Helvetica"/>
          <w:bCs/>
          <w:color w:val="000000"/>
          <w:lang w:val="ro-RO"/>
        </w:rPr>
        <w:t>În perioada de desfășurare a evaluării tematice a fost actualizată componența Grupului de lucru prin Ordinul Președintelui ANPC nr.  795/17.10.2023.</w:t>
      </w:r>
    </w:p>
    <w:p w14:paraId="19313B81" w14:textId="77777777" w:rsidR="00977BC4" w:rsidRPr="0032458C" w:rsidRDefault="00977BC4" w:rsidP="00977BC4">
      <w:pPr>
        <w:tabs>
          <w:tab w:val="num" w:pos="0"/>
        </w:tabs>
        <w:autoSpaceDE w:val="0"/>
        <w:autoSpaceDN w:val="0"/>
        <w:adjustRightInd w:val="0"/>
        <w:spacing w:after="0"/>
        <w:ind w:left="0"/>
        <w:rPr>
          <w:rFonts w:eastAsia="Times New Roman" w:cs="Helvetica"/>
          <w:bCs/>
          <w:color w:val="000000"/>
          <w:lang w:val="ro-RO"/>
        </w:rPr>
      </w:pPr>
      <w:r w:rsidRPr="0032458C">
        <w:rPr>
          <w:rFonts w:eastAsia="Times New Roman" w:cs="Helvetica"/>
          <w:bCs/>
          <w:color w:val="000000"/>
          <w:lang w:val="ro-RO"/>
        </w:rPr>
        <w:t>În perioada de raportare, Grupul de lucru pentru implementarea metodologiei a identificat și descris riscurile de corupție, conform art. 11 din Metodologia standard aprobată prin H.G. nr. 599/2018; a desfășurat activitatea de evaluare a riscurilor identificate; a elaborat Registrul riscurilor de corupție, prevăzut la art. 17 din Metodologia standard.</w:t>
      </w:r>
    </w:p>
    <w:p w14:paraId="10C47E76" w14:textId="77777777" w:rsidR="00977BC4" w:rsidRPr="0032458C" w:rsidRDefault="00977BC4" w:rsidP="00977BC4">
      <w:pPr>
        <w:tabs>
          <w:tab w:val="num" w:pos="0"/>
        </w:tabs>
        <w:autoSpaceDE w:val="0"/>
        <w:autoSpaceDN w:val="0"/>
        <w:adjustRightInd w:val="0"/>
        <w:spacing w:after="0"/>
        <w:ind w:left="0"/>
        <w:rPr>
          <w:rFonts w:eastAsia="Times New Roman" w:cs="Helvetica"/>
          <w:bCs/>
          <w:color w:val="000000"/>
          <w:lang w:val="ro-RO"/>
        </w:rPr>
      </w:pPr>
    </w:p>
    <w:p w14:paraId="5D3429FD" w14:textId="77777777" w:rsidR="00977BC4" w:rsidRPr="0032458C" w:rsidRDefault="00977BC4" w:rsidP="00977BC4">
      <w:pPr>
        <w:tabs>
          <w:tab w:val="num" w:pos="0"/>
        </w:tabs>
        <w:autoSpaceDE w:val="0"/>
        <w:autoSpaceDN w:val="0"/>
        <w:adjustRightInd w:val="0"/>
        <w:spacing w:after="0"/>
        <w:ind w:left="0"/>
        <w:rPr>
          <w:rFonts w:eastAsia="Times New Roman" w:cs="Helvetica"/>
          <w:bCs/>
          <w:color w:val="000000"/>
          <w:lang w:val="ro-RO"/>
        </w:rPr>
      </w:pPr>
      <w:r w:rsidRPr="0032458C">
        <w:rPr>
          <w:rFonts w:eastAsia="Times New Roman" w:cs="Helvetica"/>
          <w:bCs/>
          <w:color w:val="000000"/>
          <w:lang w:val="ro-RO"/>
        </w:rPr>
        <w:lastRenderedPageBreak/>
        <w:t xml:space="preserve">Ca urmare a activității de identificare a riscurilor de corupție, la nivelul instituției a fost elaborată/revizuită procedura de lucru </w:t>
      </w:r>
      <w:bookmarkStart w:id="3" w:name="_Hlk130295792"/>
      <w:r w:rsidRPr="0032458C">
        <w:rPr>
          <w:rFonts w:eastAsia="Times New Roman" w:cs="Helvetica"/>
          <w:bCs/>
          <w:color w:val="000000"/>
          <w:lang w:val="ro-RO"/>
        </w:rPr>
        <w:t xml:space="preserve">PS 21 din 16.06.2022 </w:t>
      </w:r>
      <w:r w:rsidRPr="0032458C">
        <w:rPr>
          <w:rFonts w:eastAsia="Times New Roman" w:cs="Helvetica"/>
          <w:bCs/>
          <w:i/>
          <w:iCs/>
          <w:color w:val="000000"/>
          <w:lang w:val="ro-RO"/>
        </w:rPr>
        <w:t>privind avertizarea în sistem public</w:t>
      </w:r>
      <w:r w:rsidRPr="0032458C">
        <w:rPr>
          <w:rFonts w:eastAsia="Times New Roman" w:cs="Helvetica"/>
          <w:bCs/>
          <w:color w:val="000000"/>
          <w:lang w:val="ro-RO"/>
        </w:rPr>
        <w:t>. Consilierul de integritate este persoana care preia sesizările de integritate.</w:t>
      </w:r>
    </w:p>
    <w:p w14:paraId="353BC6CC" w14:textId="77777777" w:rsidR="00977BC4" w:rsidRPr="0032458C" w:rsidRDefault="00977BC4" w:rsidP="00977BC4">
      <w:pPr>
        <w:tabs>
          <w:tab w:val="num" w:pos="0"/>
        </w:tabs>
        <w:autoSpaceDE w:val="0"/>
        <w:autoSpaceDN w:val="0"/>
        <w:adjustRightInd w:val="0"/>
        <w:spacing w:after="0"/>
        <w:ind w:left="0"/>
        <w:rPr>
          <w:rFonts w:eastAsia="Times New Roman" w:cs="Helvetica"/>
          <w:bCs/>
          <w:color w:val="000000"/>
          <w:lang w:val="ro-RO"/>
        </w:rPr>
      </w:pPr>
      <w:r w:rsidRPr="0032458C">
        <w:rPr>
          <w:rFonts w:eastAsia="Times New Roman" w:cs="Helvetica"/>
          <w:bCs/>
          <w:color w:val="000000"/>
          <w:lang w:val="ro-RO"/>
        </w:rPr>
        <w:t>În cadrul structurii centrale, au fost create canale de comunicare în sprijinul avertizorilor de integritate prin adresa de email dedicată și linie telefonică la care răspunde Consilierul de integritate. În perioada de evaluare, la nivelul comisariatelor regionale aceste canale de comunicare nu au fost implementate, având în vedere schema redusă de personal,  dar sunt desemnați consilieri de etică care îndeplinesc și rolul de consilier de integritate.</w:t>
      </w:r>
    </w:p>
    <w:p w14:paraId="10CDA9C8" w14:textId="77777777" w:rsidR="00977BC4" w:rsidRPr="0032458C" w:rsidRDefault="00977BC4" w:rsidP="00977BC4">
      <w:pPr>
        <w:tabs>
          <w:tab w:val="num" w:pos="0"/>
        </w:tabs>
        <w:autoSpaceDE w:val="0"/>
        <w:autoSpaceDN w:val="0"/>
        <w:adjustRightInd w:val="0"/>
        <w:spacing w:after="0"/>
        <w:ind w:left="0"/>
        <w:rPr>
          <w:rFonts w:eastAsia="Times New Roman" w:cs="Helvetica"/>
          <w:bCs/>
          <w:color w:val="000000"/>
          <w:lang w:val="ro-RO"/>
        </w:rPr>
      </w:pPr>
      <w:r w:rsidRPr="0032458C">
        <w:rPr>
          <w:rFonts w:eastAsia="Times New Roman" w:cs="Helvetica"/>
          <w:bCs/>
          <w:color w:val="000000"/>
          <w:lang w:val="ro-RO"/>
        </w:rPr>
        <w:t>Registrul riscurilor reglementat de art.5 din O.S.G.G. nr. 600/2018 nu este corelat cu registrul riscurilor de corupție, riscurile SCIM fiind stabilite la nivel de compartimente și centralizate de Secretariatul Tehnic al Comisiei de Monitorizare.</w:t>
      </w:r>
    </w:p>
    <w:p w14:paraId="70DFAE6A" w14:textId="77777777" w:rsidR="00977BC4" w:rsidRPr="0032458C" w:rsidRDefault="00977BC4" w:rsidP="00977BC4">
      <w:pPr>
        <w:tabs>
          <w:tab w:val="num" w:pos="0"/>
        </w:tabs>
        <w:autoSpaceDE w:val="0"/>
        <w:autoSpaceDN w:val="0"/>
        <w:adjustRightInd w:val="0"/>
        <w:spacing w:after="0"/>
        <w:ind w:left="0"/>
        <w:rPr>
          <w:rFonts w:eastAsia="Times New Roman" w:cs="Helvetica"/>
          <w:bCs/>
          <w:color w:val="000000"/>
          <w:lang w:val="ro-RO"/>
        </w:rPr>
      </w:pPr>
      <w:r w:rsidRPr="0032458C">
        <w:rPr>
          <w:rFonts w:eastAsia="Times New Roman" w:cs="Helvetica"/>
          <w:bCs/>
          <w:color w:val="000000"/>
          <w:lang w:val="ro-RO"/>
        </w:rPr>
        <w:t xml:space="preserve">Din chestionarul de evaluare rezultă că registrul riscurilor de corupție este utilizat ca instrument de management de către conducerea instituției, prin faptul că președintele ANPC aprobă planificarea, monitorizează și avizează implementarea unor măsuri implementate prin Planul de Integritate, spre exemplu Obiectivul 3.3. Măsura nr. 1 - </w:t>
      </w:r>
      <w:r w:rsidRPr="0032458C">
        <w:rPr>
          <w:rFonts w:eastAsia="Times New Roman" w:cs="Helvetica"/>
          <w:bCs/>
          <w:i/>
          <w:iCs/>
          <w:color w:val="000000"/>
          <w:lang w:val="ro-RO"/>
        </w:rPr>
        <w:t>Auditarea internă</w:t>
      </w:r>
      <w:r w:rsidRPr="0032458C">
        <w:rPr>
          <w:rFonts w:eastAsia="Times New Roman" w:cs="Helvetica"/>
          <w:bCs/>
          <w:color w:val="000000"/>
          <w:lang w:val="ro-RO"/>
        </w:rPr>
        <w:t>.</w:t>
      </w:r>
    </w:p>
    <w:p w14:paraId="5032FC3D" w14:textId="77777777" w:rsidR="00977BC4" w:rsidRPr="0032458C" w:rsidRDefault="00977BC4" w:rsidP="00977BC4">
      <w:pPr>
        <w:tabs>
          <w:tab w:val="num" w:pos="0"/>
        </w:tabs>
        <w:autoSpaceDE w:val="0"/>
        <w:autoSpaceDN w:val="0"/>
        <w:adjustRightInd w:val="0"/>
        <w:spacing w:after="0"/>
        <w:ind w:left="0"/>
        <w:rPr>
          <w:rFonts w:eastAsia="Times New Roman" w:cs="Helvetica"/>
          <w:bCs/>
          <w:color w:val="000000"/>
          <w:lang w:val="ro-RO"/>
        </w:rPr>
      </w:pPr>
      <w:r w:rsidRPr="0032458C">
        <w:rPr>
          <w:rFonts w:eastAsia="Times New Roman" w:cs="Helvetica"/>
          <w:bCs/>
          <w:color w:val="000000"/>
          <w:lang w:val="ro-RO"/>
        </w:rPr>
        <w:t>În perioada de referință, membrii Grupului de lucru nu au beneficiat de programe de formare în domeniul implementării prevederilor legale referitoare la analiza riscurilor de corupție.</w:t>
      </w:r>
    </w:p>
    <w:bookmarkEnd w:id="3"/>
    <w:p w14:paraId="4F038102" w14:textId="77777777" w:rsidR="00977BC4" w:rsidRPr="0032458C" w:rsidRDefault="00977BC4" w:rsidP="00977BC4">
      <w:pPr>
        <w:tabs>
          <w:tab w:val="num" w:pos="0"/>
        </w:tabs>
        <w:spacing w:before="120" w:after="0"/>
        <w:ind w:left="0"/>
        <w:rPr>
          <w:rFonts w:eastAsia="Times New Roman" w:cs="Arial"/>
          <w:bCs/>
          <w:lang w:val="ro-RO"/>
        </w:rPr>
      </w:pPr>
    </w:p>
    <w:p w14:paraId="54790331" w14:textId="77777777" w:rsidR="00977BC4" w:rsidRPr="0032458C" w:rsidRDefault="00977BC4" w:rsidP="00977BC4">
      <w:pPr>
        <w:numPr>
          <w:ilvl w:val="0"/>
          <w:numId w:val="8"/>
        </w:numPr>
        <w:tabs>
          <w:tab w:val="num" w:pos="0"/>
        </w:tabs>
        <w:spacing w:before="120" w:after="0"/>
        <w:ind w:left="0" w:firstLine="0"/>
        <w:rPr>
          <w:rFonts w:eastAsia="Times New Roman" w:cs="Arial"/>
          <w:b/>
          <w:bCs/>
          <w:lang w:val="ro-RO"/>
        </w:rPr>
      </w:pPr>
      <w:r w:rsidRPr="0032458C">
        <w:rPr>
          <w:rFonts w:eastAsia="Times New Roman" w:cs="Arial"/>
          <w:b/>
          <w:bCs/>
          <w:lang w:val="ro-RO"/>
        </w:rPr>
        <w:t xml:space="preserve">EVALUAREA INCIDENTELOR DE INTEGRITATE ÎN CADRUL AUTORITĂȚILOR ȘI INSTITUȚIILOR PUBLICE CENTRALE ȘI LOCALE </w:t>
      </w:r>
    </w:p>
    <w:p w14:paraId="417C43FF" w14:textId="77777777" w:rsidR="00977BC4" w:rsidRPr="0032458C" w:rsidRDefault="00977BC4" w:rsidP="00977BC4">
      <w:pPr>
        <w:tabs>
          <w:tab w:val="num" w:pos="0"/>
        </w:tabs>
        <w:spacing w:before="120" w:after="0"/>
        <w:ind w:left="0"/>
        <w:rPr>
          <w:rFonts w:eastAsia="Times New Roman" w:cs="Helvetica"/>
          <w:bCs/>
          <w:i/>
          <w:iCs/>
          <w:lang w:val="ro-RO"/>
        </w:rPr>
      </w:pPr>
      <w:r w:rsidRPr="0032458C">
        <w:rPr>
          <w:rFonts w:eastAsia="Calibri"/>
          <w:lang w:val="ro-RO"/>
        </w:rPr>
        <w:t xml:space="preserve">La nivelul ANPC, prin </w:t>
      </w:r>
      <w:r w:rsidRPr="006C2336">
        <w:rPr>
          <w:rFonts w:eastAsia="Times New Roman" w:cs="Helvetica"/>
          <w:bCs/>
          <w:lang w:val="ro-RO"/>
        </w:rPr>
        <w:t>Ordinul Președintelui ANPC nr. 101/22.02.2022,</w:t>
      </w:r>
      <w:r w:rsidRPr="0032458C">
        <w:rPr>
          <w:rFonts w:eastAsia="Times New Roman" w:cs="Helvetica"/>
          <w:b/>
          <w:lang w:val="ro-RO"/>
        </w:rPr>
        <w:t xml:space="preserve"> </w:t>
      </w:r>
      <w:r w:rsidRPr="0032458C">
        <w:rPr>
          <w:rFonts w:eastAsia="Calibri"/>
          <w:lang w:val="ro-RO"/>
        </w:rPr>
        <w:t xml:space="preserve">a fost desemnat un angajat responsabil pentru implementarea metodologiei de evaluare a incidentelor de integritate, în conformitate cu dispozițiile art. 5 alin. (1) din </w:t>
      </w:r>
      <w:r w:rsidRPr="0032458C">
        <w:rPr>
          <w:rFonts w:eastAsia="Times New Roman" w:cs="Helvetica"/>
          <w:bCs/>
          <w:iCs/>
          <w:lang w:val="ro-RO"/>
        </w:rPr>
        <w:t>Metodologia de evaluare a incidentelor de integritate în cadrul autorităților şi instituțiilor publice centrale</w:t>
      </w:r>
      <w:r w:rsidRPr="0032458C">
        <w:rPr>
          <w:rFonts w:eastAsia="Times New Roman" w:cs="Helvetica"/>
          <w:bCs/>
          <w:lang w:val="ro-RO"/>
        </w:rPr>
        <w:t xml:space="preserve"> aprobată prin Hotărârea Guvernului</w:t>
      </w:r>
      <w:r w:rsidRPr="0032458C">
        <w:rPr>
          <w:rFonts w:eastAsia="Calibri"/>
          <w:lang w:val="ro-RO"/>
        </w:rPr>
        <w:t xml:space="preserve"> </w:t>
      </w:r>
      <w:r w:rsidRPr="0032458C">
        <w:rPr>
          <w:rFonts w:eastAsia="Times New Roman" w:cs="Helvetica"/>
          <w:bCs/>
          <w:lang w:val="ro-RO"/>
        </w:rPr>
        <w:t>nr. 599/2018</w:t>
      </w:r>
      <w:r w:rsidRPr="0032458C">
        <w:rPr>
          <w:rFonts w:eastAsia="Times New Roman" w:cs="Helvetica"/>
          <w:bCs/>
          <w:i/>
          <w:iCs/>
          <w:lang w:val="ro-RO"/>
        </w:rPr>
        <w:t>.</w:t>
      </w:r>
    </w:p>
    <w:p w14:paraId="57495544" w14:textId="77777777" w:rsidR="00977BC4" w:rsidRPr="0032458C" w:rsidRDefault="00977BC4" w:rsidP="00977BC4">
      <w:pPr>
        <w:tabs>
          <w:tab w:val="num" w:pos="0"/>
        </w:tabs>
        <w:autoSpaceDE w:val="0"/>
        <w:autoSpaceDN w:val="0"/>
        <w:adjustRightInd w:val="0"/>
        <w:spacing w:after="0"/>
        <w:ind w:left="0"/>
        <w:rPr>
          <w:rFonts w:eastAsia="Times New Roman" w:cs="Helvetica"/>
          <w:bCs/>
          <w:iCs/>
          <w:color w:val="000000"/>
          <w:lang w:val="ro-RO"/>
        </w:rPr>
      </w:pPr>
      <w:r w:rsidRPr="0032458C">
        <w:rPr>
          <w:rFonts w:eastAsia="Times New Roman" w:cs="Helvetica"/>
          <w:bCs/>
          <w:iCs/>
          <w:color w:val="000000"/>
          <w:lang w:val="ro-RO"/>
        </w:rPr>
        <w:t>Persoana desemnată mai îndeplinește și următoarele atribuții: Secretar al Grupului de lucru pentru implementarea Metodologiei de evaluare a riscurilor de corupție; persoană de contact la nivel de execuție a Planului de integritate; consilier în cadrul Direcției de Insolvență a Persoanelor Fizice, Centrală.</w:t>
      </w:r>
    </w:p>
    <w:p w14:paraId="790B5A3B" w14:textId="77777777" w:rsidR="00977BC4" w:rsidRPr="0032458C" w:rsidRDefault="00977BC4" w:rsidP="00977BC4">
      <w:pPr>
        <w:tabs>
          <w:tab w:val="num" w:pos="0"/>
        </w:tabs>
        <w:spacing w:after="0"/>
        <w:ind w:left="0"/>
        <w:rPr>
          <w:rFonts w:eastAsia="Times New Roman"/>
          <w:lang w:val="ro-RO"/>
        </w:rPr>
      </w:pPr>
      <w:r w:rsidRPr="0032458C">
        <w:rPr>
          <w:rFonts w:eastAsia="Times New Roman" w:cs="Helvetica"/>
          <w:bCs/>
          <w:iCs/>
          <w:color w:val="000000"/>
          <w:lang w:val="ro-RO"/>
        </w:rPr>
        <w:t xml:space="preserve">În cursul anului 2022, </w:t>
      </w:r>
      <w:r w:rsidRPr="0032458C">
        <w:rPr>
          <w:rFonts w:eastAsia="Times New Roman"/>
          <w:lang w:val="ro-RO"/>
        </w:rPr>
        <w:t>responsabilul pentru implementarea metodologiei de evaluare a incidentelor de integritate nu a primit nicio sesizare și nu au fost identificate incidente de integritate la nivelul instituției.</w:t>
      </w:r>
    </w:p>
    <w:p w14:paraId="43916FB6" w14:textId="77777777" w:rsidR="00977BC4" w:rsidRPr="0032458C" w:rsidRDefault="00977BC4" w:rsidP="00977BC4">
      <w:pPr>
        <w:tabs>
          <w:tab w:val="num" w:pos="0"/>
        </w:tabs>
        <w:spacing w:after="0"/>
        <w:ind w:left="0"/>
        <w:rPr>
          <w:rFonts w:eastAsia="Times New Roman"/>
          <w:lang w:val="ro-RO"/>
        </w:rPr>
      </w:pPr>
      <w:r w:rsidRPr="0032458C">
        <w:rPr>
          <w:rFonts w:eastAsia="Times New Roman"/>
          <w:lang w:val="ro-RO"/>
        </w:rPr>
        <w:t>S-a menționat faptul că responsabilul a aflat întâmplător de existența a două incidente de integritate de la nivelul structurilor subordonate. Unul de la Pitești, despre care a aflat la data pronunțării condamnării în acest caz, în 12 aprilie 2023, speța fiind din anul 2019. Și un al doilea incident de integritate în Timiș, despre care a aflat, la începutul anului 2023. Această situație arată că nu există o procedură clară prin care structurile subordonate să raporteze către ANPC incidentele de integritate.</w:t>
      </w:r>
    </w:p>
    <w:p w14:paraId="3D7770B5" w14:textId="77777777" w:rsidR="00977BC4" w:rsidRPr="0032458C" w:rsidRDefault="00977BC4" w:rsidP="00977BC4">
      <w:pPr>
        <w:tabs>
          <w:tab w:val="num" w:pos="0"/>
        </w:tabs>
        <w:spacing w:after="0"/>
        <w:ind w:left="0"/>
        <w:rPr>
          <w:rFonts w:eastAsia="Times New Roman"/>
          <w:b/>
          <w:bCs/>
          <w:lang w:val="ro-RO"/>
        </w:rPr>
      </w:pPr>
      <w:r w:rsidRPr="0032458C">
        <w:rPr>
          <w:rFonts w:eastAsia="Times New Roman"/>
          <w:lang w:val="ro-RO"/>
        </w:rPr>
        <w:t xml:space="preserve">Angajatul din cadrul ANPC desemnat conform art. 5 alin. (1) din </w:t>
      </w:r>
      <w:r w:rsidRPr="0032458C">
        <w:rPr>
          <w:rFonts w:eastAsia="Times New Roman" w:cs="Helvetica"/>
          <w:bCs/>
          <w:lang w:val="ro-RO"/>
        </w:rPr>
        <w:t>metodologie</w:t>
      </w:r>
      <w:r w:rsidRPr="0032458C">
        <w:rPr>
          <w:rFonts w:eastAsia="Times New Roman"/>
          <w:lang w:val="ro-RO"/>
        </w:rPr>
        <w:t xml:space="preserve"> nu a beneficiat, în perioada de referință, de programe de formare în domeniul implementării prevederilor legale referitoare la evaluarea incidentelor de integritate.</w:t>
      </w:r>
    </w:p>
    <w:p w14:paraId="2A2BB68F" w14:textId="77777777" w:rsidR="00977BC4" w:rsidRDefault="00977BC4" w:rsidP="00977BC4">
      <w:pPr>
        <w:tabs>
          <w:tab w:val="num" w:pos="0"/>
        </w:tabs>
        <w:spacing w:before="120" w:after="0"/>
        <w:ind w:left="0"/>
        <w:rPr>
          <w:rFonts w:eastAsia="Times New Roman" w:cs="Arial"/>
          <w:b/>
          <w:bCs/>
          <w:lang w:val="ro-RO"/>
        </w:rPr>
      </w:pPr>
    </w:p>
    <w:p w14:paraId="3E2BB497" w14:textId="77777777" w:rsidR="006C2336" w:rsidRDefault="006C2336" w:rsidP="00977BC4">
      <w:pPr>
        <w:tabs>
          <w:tab w:val="num" w:pos="0"/>
        </w:tabs>
        <w:spacing w:before="120" w:after="0"/>
        <w:ind w:left="0"/>
        <w:rPr>
          <w:rFonts w:eastAsia="Times New Roman" w:cs="Arial"/>
          <w:b/>
          <w:bCs/>
          <w:lang w:val="ro-RO"/>
        </w:rPr>
      </w:pPr>
    </w:p>
    <w:p w14:paraId="39D2BADB" w14:textId="77777777" w:rsidR="006C2336" w:rsidRPr="0032458C" w:rsidRDefault="006C2336" w:rsidP="00977BC4">
      <w:pPr>
        <w:tabs>
          <w:tab w:val="num" w:pos="0"/>
        </w:tabs>
        <w:spacing w:before="120" w:after="0"/>
        <w:ind w:left="0"/>
        <w:rPr>
          <w:rFonts w:eastAsia="Times New Roman" w:cs="Arial"/>
          <w:b/>
          <w:bCs/>
          <w:lang w:val="ro-RO"/>
        </w:rPr>
      </w:pPr>
    </w:p>
    <w:p w14:paraId="6A074784" w14:textId="77777777" w:rsidR="00977BC4" w:rsidRPr="0032458C" w:rsidRDefault="00977BC4" w:rsidP="00977BC4">
      <w:pPr>
        <w:numPr>
          <w:ilvl w:val="0"/>
          <w:numId w:val="8"/>
        </w:numPr>
        <w:tabs>
          <w:tab w:val="num" w:pos="0"/>
        </w:tabs>
        <w:spacing w:before="120" w:after="0"/>
        <w:ind w:left="0" w:firstLine="0"/>
        <w:rPr>
          <w:rFonts w:eastAsia="Times New Roman"/>
          <w:bCs/>
          <w:shd w:val="clear" w:color="auto" w:fill="FFFFFF"/>
          <w:lang w:val="ro-RO"/>
        </w:rPr>
      </w:pPr>
      <w:r w:rsidRPr="0032458C">
        <w:rPr>
          <w:rFonts w:eastAsia="Times New Roman" w:cs="Arial"/>
          <w:b/>
          <w:bCs/>
          <w:lang w:val="ro-RO"/>
        </w:rPr>
        <w:lastRenderedPageBreak/>
        <w:t>GESTIONAREA MECANISMULUI DE IMPLEMENTARE A SNA DE CĂTRE INSTITUȚIILE PUBLICE (INCLUSIV ÎNTREPRINDERI PUBLICE)</w:t>
      </w:r>
    </w:p>
    <w:p w14:paraId="344F7C4E" w14:textId="77777777" w:rsidR="00977BC4" w:rsidRPr="0032458C" w:rsidRDefault="00977BC4" w:rsidP="00977BC4">
      <w:pPr>
        <w:tabs>
          <w:tab w:val="num" w:pos="0"/>
        </w:tabs>
        <w:spacing w:before="120" w:after="0"/>
        <w:ind w:left="0"/>
        <w:rPr>
          <w:rFonts w:eastAsia="Calibri"/>
          <w:b/>
          <w:bCs/>
          <w:lang w:val="ro-RO"/>
        </w:rPr>
      </w:pPr>
      <w:r w:rsidRPr="0032458C">
        <w:rPr>
          <w:rFonts w:eastAsia="Calibri"/>
          <w:lang w:val="ro-RO"/>
        </w:rPr>
        <w:t>La nivelul ANPC sunt desemnate trei persoane responsabile cu gestionarea implementării SNA, respectiv: c</w:t>
      </w:r>
      <w:r w:rsidRPr="0032458C">
        <w:rPr>
          <w:rFonts w:eastAsia="Calibri"/>
          <w:bCs/>
          <w:lang w:val="ro-RO"/>
        </w:rPr>
        <w:t xml:space="preserve">oordonatorul Planului de Integritate al ANPC și două persoane de contact, cu funcții de execuție, prin </w:t>
      </w:r>
      <w:r w:rsidRPr="0032458C">
        <w:rPr>
          <w:rFonts w:eastAsia="Calibri"/>
          <w:lang w:val="ro-RO"/>
        </w:rPr>
        <w:t>OPANPC</w:t>
      </w:r>
      <w:r w:rsidRPr="0032458C" w:rsidDel="00F62647">
        <w:rPr>
          <w:rFonts w:eastAsia="Calibri"/>
          <w:bCs/>
          <w:lang w:val="ro-RO"/>
        </w:rPr>
        <w:t xml:space="preserve"> </w:t>
      </w:r>
      <w:r w:rsidRPr="0032458C">
        <w:rPr>
          <w:rFonts w:eastAsia="Calibri"/>
          <w:bCs/>
          <w:lang w:val="ro-RO"/>
        </w:rPr>
        <w:t>nr. 226 din 04.05.2022</w:t>
      </w:r>
      <w:r w:rsidRPr="0032458C">
        <w:rPr>
          <w:rFonts w:eastAsia="Calibri"/>
          <w:b/>
          <w:bCs/>
          <w:lang w:val="ro-RO"/>
        </w:rPr>
        <w:t>.</w:t>
      </w:r>
    </w:p>
    <w:p w14:paraId="68607EA5" w14:textId="77777777" w:rsidR="00977BC4" w:rsidRPr="0032458C" w:rsidRDefault="00977BC4" w:rsidP="00977BC4">
      <w:pPr>
        <w:tabs>
          <w:tab w:val="num" w:pos="0"/>
        </w:tabs>
        <w:spacing w:before="120" w:after="0"/>
        <w:ind w:left="0"/>
        <w:rPr>
          <w:rFonts w:eastAsia="Calibri"/>
          <w:lang w:val="ro-RO"/>
        </w:rPr>
      </w:pPr>
      <w:r w:rsidRPr="0032458C">
        <w:rPr>
          <w:rFonts w:eastAsia="Calibri"/>
          <w:lang w:val="ro-RO"/>
        </w:rPr>
        <w:t>Responsabilii de implementarea SNA nu au beneficiat, în anul 2022, de programe de formare profesională pe teme de integritate. Situație identică și pentru ceilalți angajați ai instituției.</w:t>
      </w:r>
    </w:p>
    <w:p w14:paraId="58E776A0" w14:textId="76458037" w:rsidR="00977BC4" w:rsidRPr="0032458C" w:rsidRDefault="00977BC4" w:rsidP="00977BC4">
      <w:pPr>
        <w:tabs>
          <w:tab w:val="num" w:pos="0"/>
        </w:tabs>
        <w:spacing w:after="0"/>
        <w:ind w:left="0"/>
        <w:rPr>
          <w:rFonts w:eastAsia="Calibri"/>
          <w:lang w:val="ro-RO"/>
        </w:rPr>
      </w:pPr>
      <w:r w:rsidRPr="0032458C">
        <w:rPr>
          <w:rFonts w:eastAsia="Calibri"/>
          <w:lang w:val="ro-RO"/>
        </w:rPr>
        <w:t>Principalele obiective ale politicii organizaționale în materie de integritate au fost stabilite prin Planul de Integritate și aprobate de conducătorul entității ca urmare a fundamentării acestora în cadrul dezbaterilor din Grupul de lucru desemnat prin OPANPC nr. 101 din 22.02.2022.</w:t>
      </w:r>
    </w:p>
    <w:p w14:paraId="2CDFF2D0" w14:textId="77777777" w:rsidR="00977BC4" w:rsidRPr="0032458C" w:rsidRDefault="00977BC4" w:rsidP="00977BC4">
      <w:pPr>
        <w:tabs>
          <w:tab w:val="num" w:pos="0"/>
        </w:tabs>
        <w:spacing w:after="0"/>
        <w:ind w:left="0"/>
        <w:rPr>
          <w:rFonts w:eastAsia="Calibri"/>
          <w:lang w:val="ro-RO"/>
        </w:rPr>
      </w:pPr>
      <w:r w:rsidRPr="0032458C">
        <w:rPr>
          <w:rFonts w:eastAsia="Calibri"/>
          <w:lang w:val="ro-RO"/>
        </w:rPr>
        <w:t>Din chestionarul de evaluare rezultă că managementul se implică în promovarea integrității la nivel instituțional prin măsuri pro-active, existând circulare, dispoziții pentru:</w:t>
      </w:r>
    </w:p>
    <w:p w14:paraId="2672DA93" w14:textId="77777777" w:rsidR="00977BC4" w:rsidRPr="0032458C" w:rsidRDefault="00977BC4" w:rsidP="00977BC4">
      <w:pPr>
        <w:numPr>
          <w:ilvl w:val="0"/>
          <w:numId w:val="24"/>
        </w:numPr>
        <w:tabs>
          <w:tab w:val="num" w:pos="0"/>
        </w:tabs>
        <w:spacing w:before="120" w:after="0"/>
        <w:ind w:left="0" w:firstLine="0"/>
        <w:rPr>
          <w:rFonts w:eastAsia="Calibri"/>
          <w:lang w:val="ro-RO"/>
        </w:rPr>
      </w:pPr>
      <w:r w:rsidRPr="0032458C">
        <w:rPr>
          <w:rFonts w:eastAsia="Calibri"/>
          <w:lang w:val="ro-RO"/>
        </w:rPr>
        <w:t>stabilirea și analizarea periodică a indicatorilor de performanță până la nivel de post;</w:t>
      </w:r>
    </w:p>
    <w:p w14:paraId="1F37F80B" w14:textId="77777777" w:rsidR="00977BC4" w:rsidRPr="0032458C" w:rsidRDefault="00977BC4" w:rsidP="00977BC4">
      <w:pPr>
        <w:numPr>
          <w:ilvl w:val="0"/>
          <w:numId w:val="24"/>
        </w:numPr>
        <w:tabs>
          <w:tab w:val="num" w:pos="0"/>
        </w:tabs>
        <w:spacing w:before="120" w:after="0"/>
        <w:ind w:left="0" w:firstLine="0"/>
        <w:rPr>
          <w:rFonts w:eastAsia="Calibri"/>
          <w:lang w:val="ro-RO"/>
        </w:rPr>
      </w:pPr>
      <w:r w:rsidRPr="0032458C">
        <w:rPr>
          <w:rFonts w:eastAsia="Calibri"/>
          <w:lang w:val="ro-RO"/>
        </w:rPr>
        <w:t>actualizarea procedurii-cadru privind activitatea de control;</w:t>
      </w:r>
    </w:p>
    <w:p w14:paraId="41339224" w14:textId="77777777" w:rsidR="00977BC4" w:rsidRPr="0032458C" w:rsidRDefault="00977BC4" w:rsidP="00977BC4">
      <w:pPr>
        <w:numPr>
          <w:ilvl w:val="0"/>
          <w:numId w:val="24"/>
        </w:numPr>
        <w:tabs>
          <w:tab w:val="num" w:pos="0"/>
        </w:tabs>
        <w:spacing w:before="120" w:after="0"/>
        <w:ind w:left="0" w:firstLine="0"/>
        <w:rPr>
          <w:rFonts w:eastAsia="Calibri"/>
          <w:lang w:val="ro-RO"/>
        </w:rPr>
      </w:pPr>
      <w:r w:rsidRPr="0032458C">
        <w:rPr>
          <w:rFonts w:eastAsia="Calibri"/>
          <w:lang w:val="ro-RO"/>
        </w:rPr>
        <w:t>actualizarea ROF-ului instituției;</w:t>
      </w:r>
    </w:p>
    <w:p w14:paraId="727A483D" w14:textId="77777777" w:rsidR="00977BC4" w:rsidRPr="0032458C" w:rsidRDefault="00977BC4" w:rsidP="00977BC4">
      <w:pPr>
        <w:numPr>
          <w:ilvl w:val="0"/>
          <w:numId w:val="24"/>
        </w:numPr>
        <w:tabs>
          <w:tab w:val="num" w:pos="0"/>
        </w:tabs>
        <w:spacing w:before="120" w:after="0"/>
        <w:ind w:left="0" w:firstLine="0"/>
        <w:rPr>
          <w:rFonts w:eastAsia="Calibri"/>
          <w:lang w:val="ro-RO"/>
        </w:rPr>
      </w:pPr>
      <w:r w:rsidRPr="0032458C">
        <w:rPr>
          <w:rFonts w:eastAsia="Calibri"/>
          <w:lang w:val="ro-RO"/>
        </w:rPr>
        <w:t>elaborarea Codului etic;</w:t>
      </w:r>
    </w:p>
    <w:p w14:paraId="58325235" w14:textId="77777777" w:rsidR="00977BC4" w:rsidRPr="0032458C" w:rsidRDefault="00977BC4" w:rsidP="00977BC4">
      <w:pPr>
        <w:numPr>
          <w:ilvl w:val="0"/>
          <w:numId w:val="24"/>
        </w:numPr>
        <w:tabs>
          <w:tab w:val="num" w:pos="0"/>
        </w:tabs>
        <w:spacing w:before="120" w:after="0"/>
        <w:ind w:left="0" w:firstLine="0"/>
        <w:rPr>
          <w:rFonts w:eastAsia="Calibri"/>
          <w:lang w:val="ro-RO"/>
        </w:rPr>
      </w:pPr>
      <w:r w:rsidRPr="0032458C">
        <w:rPr>
          <w:rFonts w:eastAsia="Calibri"/>
          <w:lang w:val="ro-RO"/>
        </w:rPr>
        <w:t>încheierea de protocoale cu D.G.A., D.C.C.M. – Ministerul Economiei;</w:t>
      </w:r>
    </w:p>
    <w:p w14:paraId="1D889372" w14:textId="77777777" w:rsidR="00977BC4" w:rsidRPr="0032458C" w:rsidRDefault="00977BC4" w:rsidP="00977BC4">
      <w:pPr>
        <w:numPr>
          <w:ilvl w:val="0"/>
          <w:numId w:val="24"/>
        </w:numPr>
        <w:tabs>
          <w:tab w:val="num" w:pos="0"/>
        </w:tabs>
        <w:spacing w:before="120" w:after="0"/>
        <w:ind w:left="0" w:firstLine="0"/>
        <w:rPr>
          <w:rFonts w:eastAsia="Calibri"/>
          <w:lang w:val="ro-RO"/>
        </w:rPr>
      </w:pPr>
      <w:r w:rsidRPr="0032458C">
        <w:rPr>
          <w:rFonts w:eastAsia="Calibri"/>
          <w:lang w:val="ro-RO"/>
        </w:rPr>
        <w:t>alinierea sistemului de control intern managerial la bune practici în cadrul celor 9 Comisii de monitorizare de la nivelul ANPC – aparatul central și comisariatele regionale.</w:t>
      </w:r>
    </w:p>
    <w:p w14:paraId="16FF3B20" w14:textId="77777777" w:rsidR="00977BC4" w:rsidRPr="0032458C" w:rsidRDefault="00977BC4" w:rsidP="00977BC4">
      <w:pPr>
        <w:tabs>
          <w:tab w:val="num" w:pos="0"/>
        </w:tabs>
        <w:spacing w:after="0"/>
        <w:ind w:left="0"/>
        <w:rPr>
          <w:rFonts w:eastAsia="Calibri"/>
          <w:lang w:val="ro-RO"/>
        </w:rPr>
      </w:pPr>
      <w:r w:rsidRPr="0032458C">
        <w:rPr>
          <w:rFonts w:eastAsia="Calibri"/>
          <w:lang w:val="ro-RO"/>
        </w:rPr>
        <w:t>Codul de etică a fost elaborat în perioada evaluată și se află în procedură de aprobare.</w:t>
      </w:r>
    </w:p>
    <w:p w14:paraId="588C009B" w14:textId="77777777" w:rsidR="00977BC4" w:rsidRPr="0032458C" w:rsidRDefault="00977BC4" w:rsidP="00977BC4">
      <w:pPr>
        <w:tabs>
          <w:tab w:val="num" w:pos="0"/>
        </w:tabs>
        <w:spacing w:after="0"/>
        <w:ind w:left="0"/>
        <w:rPr>
          <w:rFonts w:eastAsia="Calibri"/>
          <w:lang w:val="ro-RO"/>
        </w:rPr>
      </w:pPr>
      <w:r w:rsidRPr="0032458C">
        <w:rPr>
          <w:rFonts w:eastAsia="Calibri"/>
          <w:lang w:val="ro-RO"/>
        </w:rPr>
        <w:t>Codul de integritate a fost aprobat de Președintele ANPC și înregistrat cu nr. 7402 din 10.07.2023.</w:t>
      </w:r>
    </w:p>
    <w:p w14:paraId="0E002D2D" w14:textId="77777777" w:rsidR="00977BC4" w:rsidRPr="0032458C" w:rsidRDefault="00977BC4" w:rsidP="00977BC4">
      <w:pPr>
        <w:tabs>
          <w:tab w:val="num" w:pos="0"/>
        </w:tabs>
        <w:spacing w:before="120"/>
        <w:ind w:left="0"/>
        <w:rPr>
          <w:rFonts w:eastAsia="Calibri"/>
          <w:lang w:val="ro-RO"/>
        </w:rPr>
      </w:pPr>
      <w:r w:rsidRPr="0032458C">
        <w:rPr>
          <w:rFonts w:eastAsia="Calibri"/>
          <w:lang w:val="ro-RO"/>
        </w:rPr>
        <w:t xml:space="preserve">Planul de integritate al ANPC a fost elaborat în baza Registrului Riscurilor de corupție și a prevederilor H.G. nr. 1269 din 22.12.2021, în funcție de specificul activității instituției, și aprobat prin Ordin al Președintelui nr. 226 din 04.05.2022. </w:t>
      </w:r>
    </w:p>
    <w:p w14:paraId="37D1DC48" w14:textId="77777777" w:rsidR="00977BC4" w:rsidRPr="0032458C" w:rsidRDefault="00977BC4" w:rsidP="00977BC4">
      <w:pPr>
        <w:tabs>
          <w:tab w:val="num" w:pos="0"/>
        </w:tabs>
        <w:spacing w:before="120" w:after="0"/>
        <w:ind w:left="0"/>
        <w:rPr>
          <w:rFonts w:eastAsia="Calibri"/>
          <w:lang w:val="ro-RO"/>
        </w:rPr>
      </w:pPr>
      <w:r w:rsidRPr="0032458C">
        <w:rPr>
          <w:rFonts w:eastAsia="Calibri"/>
          <w:lang w:val="ro-RO"/>
        </w:rPr>
        <w:t xml:space="preserve">Pentru asigurarea respectării standardelor de integritate incluse în Anexa nr. 3, la nivelul ANPC există două proceduri de sistem: PS 05 din 13.07.2022 </w:t>
      </w:r>
      <w:r w:rsidRPr="0032458C">
        <w:rPr>
          <w:rFonts w:eastAsia="Calibri"/>
          <w:i/>
          <w:iCs/>
          <w:lang w:val="ro-RO"/>
        </w:rPr>
        <w:t>privind gestionarea funcțiilor sensibile</w:t>
      </w:r>
      <w:r w:rsidRPr="0032458C">
        <w:rPr>
          <w:rFonts w:eastAsia="Calibri"/>
          <w:lang w:val="ro-RO"/>
        </w:rPr>
        <w:t xml:space="preserve">, </w:t>
      </w:r>
      <w:r w:rsidRPr="0032458C">
        <w:rPr>
          <w:rFonts w:eastAsia="Calibri"/>
          <w:i/>
          <w:iCs/>
          <w:lang w:val="ro-RO"/>
        </w:rPr>
        <w:t>conflictului de interese, situațiilor de incompatibilitate și de prevenire a pantouflage-ului</w:t>
      </w:r>
      <w:r w:rsidRPr="0032458C">
        <w:rPr>
          <w:rFonts w:eastAsia="Calibri"/>
          <w:lang w:val="ro-RO"/>
        </w:rPr>
        <w:t xml:space="preserve">; respectiv PS 21 din 16.06.2022 </w:t>
      </w:r>
      <w:r w:rsidRPr="0032458C">
        <w:rPr>
          <w:rFonts w:eastAsia="Calibri"/>
          <w:i/>
          <w:iCs/>
          <w:lang w:val="ro-RO"/>
        </w:rPr>
        <w:t>privind avertizarea în sistem public</w:t>
      </w:r>
      <w:r w:rsidRPr="0032458C">
        <w:rPr>
          <w:rFonts w:eastAsia="Calibri"/>
          <w:lang w:val="ro-RO"/>
        </w:rPr>
        <w:t>.</w:t>
      </w:r>
    </w:p>
    <w:p w14:paraId="5CCDF411" w14:textId="77777777" w:rsidR="00977BC4" w:rsidRPr="0032458C" w:rsidRDefault="00977BC4" w:rsidP="00977BC4">
      <w:pPr>
        <w:tabs>
          <w:tab w:val="num" w:pos="0"/>
        </w:tabs>
        <w:spacing w:after="0"/>
        <w:ind w:left="0"/>
        <w:rPr>
          <w:rFonts w:eastAsia="Calibri"/>
          <w:lang w:val="ro-RO"/>
        </w:rPr>
      </w:pPr>
      <w:r w:rsidRPr="0032458C">
        <w:rPr>
          <w:rFonts w:eastAsia="Calibri"/>
          <w:lang w:val="ro-RO"/>
        </w:rPr>
        <w:t>În ceea ce privește implicarea ANPC în coordonarea și monitorizarea implementării SNA la nivelul structurilor subordonate, din evaluare reiese că singurul demers în acest sens a fost cel de diseminare a documentelor elaborate la nivelul ANPC: Registrul riscurilor de corupție, Planul de Integritate și Declarația Președintelui privind asumarea agendei de integritate instituțională în coordonatele SNA 2021-2025.</w:t>
      </w:r>
    </w:p>
    <w:p w14:paraId="641908F7" w14:textId="77777777" w:rsidR="00977BC4" w:rsidRDefault="00977BC4" w:rsidP="00977BC4">
      <w:pPr>
        <w:tabs>
          <w:tab w:val="num" w:pos="0"/>
        </w:tabs>
        <w:spacing w:before="120" w:after="0"/>
        <w:ind w:left="0"/>
        <w:rPr>
          <w:rFonts w:eastAsia="Times New Roman"/>
          <w:b/>
          <w:shd w:val="clear" w:color="auto" w:fill="FFFFFF"/>
          <w:lang w:val="ro-RO"/>
        </w:rPr>
      </w:pPr>
    </w:p>
    <w:p w14:paraId="1DFF3885" w14:textId="77777777" w:rsidR="006C2336" w:rsidRDefault="006C2336" w:rsidP="00977BC4">
      <w:pPr>
        <w:tabs>
          <w:tab w:val="num" w:pos="0"/>
        </w:tabs>
        <w:spacing w:before="120" w:after="0"/>
        <w:ind w:left="0"/>
        <w:rPr>
          <w:rFonts w:eastAsia="Times New Roman"/>
          <w:b/>
          <w:shd w:val="clear" w:color="auto" w:fill="FFFFFF"/>
          <w:lang w:val="ro-RO"/>
        </w:rPr>
      </w:pPr>
    </w:p>
    <w:p w14:paraId="10EF0889" w14:textId="77777777" w:rsidR="00D65DC9" w:rsidRDefault="00D65DC9" w:rsidP="00977BC4">
      <w:pPr>
        <w:tabs>
          <w:tab w:val="num" w:pos="0"/>
        </w:tabs>
        <w:spacing w:before="120" w:after="0"/>
        <w:ind w:left="0"/>
        <w:rPr>
          <w:rFonts w:eastAsia="Times New Roman"/>
          <w:b/>
          <w:shd w:val="clear" w:color="auto" w:fill="FFFFFF"/>
          <w:lang w:val="ro-RO"/>
        </w:rPr>
      </w:pPr>
    </w:p>
    <w:p w14:paraId="57524DEE" w14:textId="77777777" w:rsidR="006C2336" w:rsidRDefault="006C2336" w:rsidP="00977BC4">
      <w:pPr>
        <w:tabs>
          <w:tab w:val="num" w:pos="0"/>
        </w:tabs>
        <w:spacing w:before="120" w:after="0"/>
        <w:ind w:left="0"/>
        <w:rPr>
          <w:rFonts w:eastAsia="Times New Roman"/>
          <w:b/>
          <w:shd w:val="clear" w:color="auto" w:fill="FFFFFF"/>
          <w:lang w:val="ro-RO"/>
        </w:rPr>
      </w:pPr>
    </w:p>
    <w:p w14:paraId="51515980" w14:textId="77777777" w:rsidR="006C2336" w:rsidRPr="0032458C" w:rsidRDefault="006C2336" w:rsidP="00977BC4">
      <w:pPr>
        <w:tabs>
          <w:tab w:val="num" w:pos="0"/>
        </w:tabs>
        <w:spacing w:before="120" w:after="0"/>
        <w:ind w:left="0"/>
        <w:rPr>
          <w:rFonts w:eastAsia="Times New Roman"/>
          <w:b/>
          <w:shd w:val="clear" w:color="auto" w:fill="FFFFFF"/>
          <w:lang w:val="ro-RO"/>
        </w:rPr>
      </w:pPr>
    </w:p>
    <w:p w14:paraId="2F79CEF0" w14:textId="77777777" w:rsidR="00977BC4" w:rsidRPr="0032458C" w:rsidRDefault="00977BC4" w:rsidP="00977BC4">
      <w:pPr>
        <w:tabs>
          <w:tab w:val="num" w:pos="0"/>
        </w:tabs>
        <w:spacing w:before="120" w:after="0"/>
        <w:ind w:left="0"/>
        <w:contextualSpacing/>
        <w:rPr>
          <w:rFonts w:eastAsia="Times New Roman" w:cs="Arial"/>
          <w:lang w:val="ro-RO"/>
        </w:rPr>
      </w:pPr>
    </w:p>
    <w:p w14:paraId="6F04938B" w14:textId="77777777" w:rsidR="00977BC4" w:rsidRPr="0032458C" w:rsidRDefault="00977BC4" w:rsidP="00977BC4">
      <w:pPr>
        <w:pBdr>
          <w:top w:val="single" w:sz="4" w:space="1" w:color="auto"/>
          <w:left w:val="single" w:sz="4" w:space="4" w:color="auto"/>
          <w:bottom w:val="single" w:sz="4" w:space="1" w:color="auto"/>
          <w:right w:val="single" w:sz="4" w:space="4" w:color="auto"/>
        </w:pBdr>
        <w:tabs>
          <w:tab w:val="num" w:pos="0"/>
        </w:tabs>
        <w:spacing w:before="120" w:after="0"/>
        <w:ind w:left="0"/>
        <w:rPr>
          <w:rFonts w:eastAsia="Times New Roman" w:cs="Arial"/>
          <w:b/>
          <w:lang w:val="ro-RO"/>
        </w:rPr>
      </w:pPr>
      <w:r w:rsidRPr="0032458C">
        <w:rPr>
          <w:rFonts w:eastAsia="Times New Roman" w:cs="Arial"/>
          <w:b/>
          <w:lang w:val="ro-RO"/>
        </w:rPr>
        <w:lastRenderedPageBreak/>
        <w:t xml:space="preserve">III. BUNE PRACTICI </w:t>
      </w:r>
    </w:p>
    <w:p w14:paraId="1D9D2AD8" w14:textId="77777777" w:rsidR="00977BC4" w:rsidRPr="0032458C" w:rsidRDefault="00977BC4" w:rsidP="00977BC4">
      <w:pPr>
        <w:numPr>
          <w:ilvl w:val="0"/>
          <w:numId w:val="9"/>
        </w:numPr>
        <w:tabs>
          <w:tab w:val="num" w:pos="0"/>
        </w:tabs>
        <w:spacing w:before="120" w:after="0"/>
        <w:ind w:left="0" w:firstLine="0"/>
        <w:rPr>
          <w:rFonts w:eastAsia="Calibri"/>
          <w:b/>
          <w:lang w:val="ro-RO"/>
        </w:rPr>
      </w:pPr>
      <w:r w:rsidRPr="0032458C">
        <w:rPr>
          <w:rFonts w:eastAsia="Calibri"/>
          <w:b/>
          <w:lang w:val="ro-RO"/>
        </w:rPr>
        <w:t>EVALUAREA RISCURILOR DE CORUPȚIE ÎN CADRUL AUTORITĂȚILOR ȘI INSTITUȚIILOR PUBLICE CENTRALE ȘI LOCALE</w:t>
      </w:r>
    </w:p>
    <w:p w14:paraId="318150F3" w14:textId="77777777" w:rsidR="00977BC4" w:rsidRPr="006C2336" w:rsidRDefault="00977BC4" w:rsidP="00977BC4">
      <w:pPr>
        <w:tabs>
          <w:tab w:val="num" w:pos="0"/>
        </w:tabs>
        <w:spacing w:before="120" w:after="0"/>
        <w:ind w:left="0"/>
        <w:rPr>
          <w:rFonts w:eastAsia="Calibri"/>
          <w:bCs/>
          <w:lang w:val="ro-RO"/>
        </w:rPr>
      </w:pPr>
      <w:r w:rsidRPr="006C2336">
        <w:rPr>
          <w:rFonts w:eastAsia="Calibri"/>
          <w:bCs/>
          <w:lang w:val="ro-RO"/>
        </w:rPr>
        <w:t>Participarea activă în cadrul Programului SIPOCA 449 ”Consolidarea integrității în instituțiile publice și în mediul de afaceri” cu peste 220 angajați din comisariatele regionale, la sesiuni de instruire și formare profesională privind problematica corupției.</w:t>
      </w:r>
    </w:p>
    <w:p w14:paraId="490B41C2" w14:textId="77777777" w:rsidR="00977BC4" w:rsidRPr="0032458C" w:rsidRDefault="00977BC4" w:rsidP="00977BC4">
      <w:pPr>
        <w:numPr>
          <w:ilvl w:val="0"/>
          <w:numId w:val="9"/>
        </w:numPr>
        <w:tabs>
          <w:tab w:val="num" w:pos="0"/>
        </w:tabs>
        <w:spacing w:before="120" w:after="0"/>
        <w:ind w:left="0" w:firstLine="0"/>
        <w:rPr>
          <w:rFonts w:eastAsia="Times New Roman"/>
          <w:b/>
          <w:bCs/>
          <w:shd w:val="clear" w:color="auto" w:fill="FFFFFF"/>
          <w:lang w:val="ro-RO"/>
        </w:rPr>
      </w:pPr>
      <w:r w:rsidRPr="0032458C">
        <w:rPr>
          <w:rFonts w:eastAsia="Calibri"/>
          <w:b/>
          <w:lang w:val="ro-RO"/>
        </w:rPr>
        <w:t>EVALUAREA</w:t>
      </w:r>
      <w:r w:rsidRPr="0032458C">
        <w:rPr>
          <w:rFonts w:eastAsia="Calibri"/>
          <w:b/>
          <w:bCs/>
          <w:lang w:val="ro-RO"/>
        </w:rPr>
        <w:t xml:space="preserve"> INCIDENTELOR DE INTEGRITATE ÎN CADRUL AUTORITĂȚILOR ȘI INSTITUȚIILOR PUBLICE CENTRALE ȘI LOCALE </w:t>
      </w:r>
    </w:p>
    <w:p w14:paraId="4FE69441" w14:textId="77777777" w:rsidR="00977BC4" w:rsidRPr="0032458C" w:rsidRDefault="00977BC4" w:rsidP="00977BC4">
      <w:pPr>
        <w:numPr>
          <w:ilvl w:val="0"/>
          <w:numId w:val="9"/>
        </w:numPr>
        <w:tabs>
          <w:tab w:val="num" w:pos="0"/>
        </w:tabs>
        <w:spacing w:before="120" w:after="0"/>
        <w:ind w:left="0" w:firstLine="0"/>
        <w:rPr>
          <w:rFonts w:eastAsia="Times New Roman"/>
          <w:b/>
          <w:bCs/>
          <w:shd w:val="clear" w:color="auto" w:fill="FFFFFF"/>
          <w:lang w:val="ro-RO"/>
        </w:rPr>
      </w:pPr>
      <w:r w:rsidRPr="0032458C">
        <w:rPr>
          <w:rFonts w:eastAsia="Times New Roman"/>
          <w:b/>
          <w:bCs/>
          <w:shd w:val="clear" w:color="auto" w:fill="FFFFFF"/>
          <w:lang w:val="ro-RO"/>
        </w:rPr>
        <w:t>G</w:t>
      </w:r>
      <w:r w:rsidRPr="0032458C">
        <w:rPr>
          <w:rFonts w:eastAsia="Calibri"/>
          <w:b/>
          <w:bCs/>
          <w:lang w:val="ro-RO"/>
        </w:rPr>
        <w:t xml:space="preserve">ESTIONAREA MECANISMULUI DE IMPLEMENTARE A SNA DE CĂTRE INSTITUȚIILE PUBLICE (INCLUSIV </w:t>
      </w:r>
      <w:r w:rsidRPr="0032458C">
        <w:rPr>
          <w:rFonts w:eastAsia="Calibri"/>
          <w:b/>
          <w:lang w:val="ro-RO"/>
        </w:rPr>
        <w:t>ÎNTREPRINDERI</w:t>
      </w:r>
      <w:r w:rsidRPr="0032458C">
        <w:rPr>
          <w:rFonts w:eastAsia="Calibri"/>
          <w:b/>
          <w:bCs/>
          <w:lang w:val="ro-RO"/>
        </w:rPr>
        <w:t xml:space="preserve"> PUBLICE)</w:t>
      </w:r>
    </w:p>
    <w:p w14:paraId="5BD26737" w14:textId="77777777" w:rsidR="00977BC4" w:rsidRPr="0032458C" w:rsidRDefault="00977BC4" w:rsidP="00977BC4">
      <w:pPr>
        <w:tabs>
          <w:tab w:val="num" w:pos="0"/>
        </w:tabs>
        <w:spacing w:before="120" w:after="0"/>
        <w:ind w:left="0"/>
        <w:rPr>
          <w:rFonts w:eastAsia="Times New Roman"/>
          <w:b/>
          <w:bCs/>
          <w:shd w:val="clear" w:color="auto" w:fill="FFFFFF"/>
          <w:lang w:val="ro-RO"/>
        </w:rPr>
      </w:pPr>
    </w:p>
    <w:p w14:paraId="5C3DEFC9" w14:textId="77777777" w:rsidR="00977BC4" w:rsidRPr="0032458C" w:rsidRDefault="00977BC4" w:rsidP="00977BC4">
      <w:pPr>
        <w:pBdr>
          <w:top w:val="single" w:sz="4" w:space="1" w:color="auto"/>
          <w:left w:val="single" w:sz="4" w:space="4" w:color="auto"/>
          <w:bottom w:val="single" w:sz="4" w:space="1" w:color="auto"/>
          <w:right w:val="single" w:sz="4" w:space="4" w:color="auto"/>
        </w:pBdr>
        <w:tabs>
          <w:tab w:val="num" w:pos="0"/>
        </w:tabs>
        <w:spacing w:before="120" w:after="0"/>
        <w:ind w:left="0"/>
        <w:rPr>
          <w:rFonts w:eastAsia="Times New Roman" w:cs="Arial"/>
          <w:b/>
          <w:lang w:val="ro-RO"/>
        </w:rPr>
      </w:pPr>
      <w:r w:rsidRPr="0032458C">
        <w:rPr>
          <w:rFonts w:eastAsia="Times New Roman" w:cs="Arial"/>
          <w:b/>
          <w:lang w:val="ro-RO"/>
        </w:rPr>
        <w:t xml:space="preserve">IV. CONCLUZII ȘI RECOMANDĂRI </w:t>
      </w:r>
    </w:p>
    <w:p w14:paraId="4F24D4B3" w14:textId="77777777" w:rsidR="00977BC4" w:rsidRPr="0032458C" w:rsidRDefault="00977BC4" w:rsidP="00977BC4">
      <w:pPr>
        <w:numPr>
          <w:ilvl w:val="0"/>
          <w:numId w:val="10"/>
        </w:numPr>
        <w:tabs>
          <w:tab w:val="num" w:pos="0"/>
          <w:tab w:val="left" w:pos="207"/>
        </w:tabs>
        <w:spacing w:before="120" w:after="0"/>
        <w:ind w:left="0" w:firstLine="0"/>
        <w:rPr>
          <w:rFonts w:eastAsia="Times New Roman" w:cs="Arial"/>
          <w:b/>
          <w:bCs/>
          <w:lang w:val="ro-RO"/>
        </w:rPr>
      </w:pPr>
      <w:r w:rsidRPr="0032458C">
        <w:rPr>
          <w:rFonts w:eastAsia="Times New Roman" w:cs="Arial"/>
          <w:b/>
          <w:bCs/>
          <w:lang w:val="ro-RO"/>
        </w:rPr>
        <w:t xml:space="preserve">EVALUAREA RISCURILOR DE CORUPȚIE ÎN CADRUL AUTORITĂȚILOR ȘI INSTITUȚIILOR PUBLICE </w:t>
      </w:r>
      <w:r w:rsidRPr="0032458C">
        <w:rPr>
          <w:rFonts w:eastAsia="Times New Roman"/>
          <w:b/>
          <w:bCs/>
          <w:shd w:val="clear" w:color="auto" w:fill="FFFFFF"/>
          <w:lang w:val="ro-RO"/>
        </w:rPr>
        <w:t>CENTRALE</w:t>
      </w:r>
      <w:r w:rsidRPr="0032458C">
        <w:rPr>
          <w:rFonts w:eastAsia="Times New Roman" w:cs="Arial"/>
          <w:b/>
          <w:bCs/>
          <w:lang w:val="ro-RO"/>
        </w:rPr>
        <w:t xml:space="preserve"> ȘI LOCALE </w:t>
      </w:r>
    </w:p>
    <w:p w14:paraId="5300B955" w14:textId="77777777" w:rsidR="00977BC4" w:rsidRPr="0032458C" w:rsidRDefault="00977BC4" w:rsidP="00977BC4">
      <w:pPr>
        <w:numPr>
          <w:ilvl w:val="0"/>
          <w:numId w:val="35"/>
        </w:numPr>
        <w:tabs>
          <w:tab w:val="num" w:pos="0"/>
        </w:tabs>
        <w:spacing w:before="120"/>
        <w:ind w:left="0" w:firstLine="0"/>
        <w:rPr>
          <w:rFonts w:eastAsia="Calibri"/>
          <w:lang w:val="ro-RO"/>
        </w:rPr>
      </w:pPr>
      <w:r w:rsidRPr="0032458C">
        <w:rPr>
          <w:rFonts w:eastAsia="Calibri"/>
          <w:lang w:val="ro-RO"/>
        </w:rPr>
        <w:t xml:space="preserve">În contextul aprobării la finalul anului 2022 a Legii nr.361/2022 </w:t>
      </w:r>
      <w:r w:rsidRPr="0032458C">
        <w:rPr>
          <w:rFonts w:eastAsia="Calibri"/>
          <w:i/>
          <w:iCs/>
          <w:lang w:val="ro-RO"/>
        </w:rPr>
        <w:t>privind protecția avertizorilor în interes public, cu modificările și completările ulterioare,</w:t>
      </w:r>
      <w:r w:rsidRPr="0032458C">
        <w:rPr>
          <w:rFonts w:eastAsia="Calibri"/>
          <w:lang w:val="ro-RO"/>
        </w:rPr>
        <w:t xml:space="preserve"> se recomandă revizuirea </w:t>
      </w:r>
      <w:r w:rsidRPr="0032458C">
        <w:rPr>
          <w:rFonts w:eastAsia="Calibri"/>
          <w:bCs/>
          <w:lang w:val="ro-RO"/>
        </w:rPr>
        <w:t xml:space="preserve">PS 21 din 16.06.2022 </w:t>
      </w:r>
      <w:r w:rsidRPr="0032458C">
        <w:rPr>
          <w:rFonts w:eastAsia="Calibri"/>
          <w:bCs/>
          <w:i/>
          <w:iCs/>
          <w:lang w:val="ro-RO"/>
        </w:rPr>
        <w:t xml:space="preserve">privind avertizarea în sistem public, în vederea corelării acesteia cu noile norme </w:t>
      </w:r>
      <w:r w:rsidRPr="0032458C">
        <w:rPr>
          <w:rFonts w:eastAsia="Calibri"/>
          <w:i/>
          <w:iCs/>
          <w:lang w:val="ro-RO"/>
        </w:rPr>
        <w:t>în vigoare</w:t>
      </w:r>
      <w:r w:rsidRPr="0032458C">
        <w:rPr>
          <w:rFonts w:eastAsia="Calibri"/>
          <w:lang w:val="ro-RO"/>
        </w:rPr>
        <w:t>, inclusiv în ceea ce privește raportarea anonimă.</w:t>
      </w:r>
    </w:p>
    <w:p w14:paraId="5DD2D7B4" w14:textId="77777777" w:rsidR="00977BC4" w:rsidRDefault="00977BC4" w:rsidP="00977BC4">
      <w:pPr>
        <w:numPr>
          <w:ilvl w:val="0"/>
          <w:numId w:val="35"/>
        </w:numPr>
        <w:tabs>
          <w:tab w:val="num" w:pos="0"/>
        </w:tabs>
        <w:spacing w:before="120"/>
        <w:ind w:left="0" w:firstLine="0"/>
        <w:rPr>
          <w:rFonts w:eastAsia="Calibri"/>
          <w:lang w:val="ro-RO"/>
        </w:rPr>
      </w:pPr>
      <w:r w:rsidRPr="0032458C">
        <w:rPr>
          <w:rFonts w:eastAsia="Calibri"/>
          <w:lang w:val="ro-RO"/>
        </w:rPr>
        <w:t>Din componența Grupului de lucru pentru implementarea metodologiei de evaluare a riscurilor de corupție, potrivit art. 7, alin (2) mai fac parte conducători/reprezentanți ai următoarelor structuri: control, audit, control intern managerial, achiziții, financiar. În consecință, se recomandă completarea grupului potrivit prevederii menționate.</w:t>
      </w:r>
    </w:p>
    <w:p w14:paraId="7EB37C3D" w14:textId="77777777" w:rsidR="00D65DC9" w:rsidRPr="0032458C" w:rsidRDefault="00D65DC9" w:rsidP="00D65DC9">
      <w:pPr>
        <w:spacing w:before="120"/>
        <w:ind w:left="0"/>
        <w:rPr>
          <w:rFonts w:eastAsia="Calibri"/>
          <w:lang w:val="ro-RO"/>
        </w:rPr>
      </w:pPr>
    </w:p>
    <w:p w14:paraId="72CD16B5" w14:textId="77777777" w:rsidR="00977BC4" w:rsidRPr="0032458C" w:rsidRDefault="00977BC4" w:rsidP="00977BC4">
      <w:pPr>
        <w:numPr>
          <w:ilvl w:val="0"/>
          <w:numId w:val="10"/>
        </w:numPr>
        <w:tabs>
          <w:tab w:val="num" w:pos="0"/>
          <w:tab w:val="left" w:pos="207"/>
        </w:tabs>
        <w:spacing w:before="120" w:after="0"/>
        <w:ind w:left="0" w:firstLine="0"/>
        <w:rPr>
          <w:rFonts w:eastAsia="Calibri"/>
          <w:lang w:val="ro-RO"/>
        </w:rPr>
      </w:pPr>
      <w:r w:rsidRPr="0032458C">
        <w:rPr>
          <w:rFonts w:eastAsia="Times New Roman" w:cs="Arial"/>
          <w:b/>
          <w:bCs/>
          <w:lang w:val="ro-RO"/>
        </w:rPr>
        <w:t xml:space="preserve">EVALUAREA INCIDENTELOR DE INTEGRITATE ÎN CADRUL AUTORITĂȚILOR ȘI INSTITUȚIILOR PUBLICE CENTRALE ȘI LOCALE </w:t>
      </w:r>
    </w:p>
    <w:p w14:paraId="40ED22D4" w14:textId="641EAB47" w:rsidR="00977BC4" w:rsidRPr="0032458C" w:rsidRDefault="00977BC4" w:rsidP="00977BC4">
      <w:pPr>
        <w:tabs>
          <w:tab w:val="num" w:pos="0"/>
        </w:tabs>
        <w:spacing w:before="120" w:after="0"/>
        <w:ind w:left="0"/>
        <w:rPr>
          <w:rFonts w:eastAsia="Calibri"/>
          <w:lang w:val="ro-RO"/>
        </w:rPr>
      </w:pPr>
      <w:r w:rsidRPr="0032458C">
        <w:rPr>
          <w:rFonts w:eastAsia="Calibri"/>
          <w:lang w:val="ro-RO"/>
        </w:rPr>
        <w:t>Din informațiile cuprinse în chestionar și rezultate în urma vizitei de evaluare, s</w:t>
      </w:r>
      <w:r w:rsidR="006C2336">
        <w:rPr>
          <w:rFonts w:eastAsia="Calibri"/>
          <w:lang w:val="ro-RO"/>
        </w:rPr>
        <w:t>-a</w:t>
      </w:r>
      <w:r w:rsidRPr="0032458C">
        <w:rPr>
          <w:rFonts w:eastAsia="Calibri"/>
          <w:lang w:val="ro-RO"/>
        </w:rPr>
        <w:t xml:space="preserve"> constat că nu există proceduri sau instrumente de lucru prin care structurile subordonate să raporteze către ANPC incidentele de integritate. Prin urmare, ANPC află de acestea doar întâmplător</w:t>
      </w:r>
      <w:r w:rsidR="006C2336">
        <w:rPr>
          <w:rFonts w:eastAsia="Calibri"/>
          <w:lang w:val="ro-RO"/>
        </w:rPr>
        <w:t>,</w:t>
      </w:r>
      <w:r w:rsidRPr="0032458C">
        <w:rPr>
          <w:rFonts w:eastAsia="Calibri"/>
          <w:lang w:val="ro-RO"/>
        </w:rPr>
        <w:t xml:space="preserve"> prin intermediul diverselor surse și nu instituțional.</w:t>
      </w:r>
    </w:p>
    <w:p w14:paraId="645DE945" w14:textId="77777777" w:rsidR="00977BC4" w:rsidRDefault="00977BC4" w:rsidP="00977BC4">
      <w:pPr>
        <w:tabs>
          <w:tab w:val="num" w:pos="0"/>
        </w:tabs>
        <w:spacing w:before="120" w:after="0"/>
        <w:ind w:left="0"/>
        <w:rPr>
          <w:rFonts w:eastAsia="Calibri"/>
          <w:lang w:val="ro-RO"/>
        </w:rPr>
      </w:pPr>
      <w:r w:rsidRPr="0032458C">
        <w:rPr>
          <w:rFonts w:eastAsia="Calibri"/>
          <w:lang w:val="ro-RO"/>
        </w:rPr>
        <w:t xml:space="preserve">Apreciem că este necesară o procedură clară pentru stabilirea unui circuit informațional prin care structurile subordonate să raporteze către ANPC toate incidentele de integritate. Totodată, procedura ar trebui să stabilească și canale de comunicare dedicate schimbului de informații în domeniul integrității între ANPC și cele 8 comisariate regionale. </w:t>
      </w:r>
    </w:p>
    <w:p w14:paraId="7F8A860B" w14:textId="77777777" w:rsidR="00D65DC9" w:rsidRPr="0032458C" w:rsidRDefault="00D65DC9" w:rsidP="00977BC4">
      <w:pPr>
        <w:tabs>
          <w:tab w:val="num" w:pos="0"/>
        </w:tabs>
        <w:spacing w:before="120" w:after="0"/>
        <w:ind w:left="0"/>
        <w:rPr>
          <w:rFonts w:eastAsia="Calibri"/>
          <w:lang w:val="ro-RO"/>
        </w:rPr>
      </w:pPr>
    </w:p>
    <w:p w14:paraId="5D859690" w14:textId="77777777" w:rsidR="00977BC4" w:rsidRPr="0032458C" w:rsidRDefault="00977BC4" w:rsidP="00977BC4">
      <w:pPr>
        <w:numPr>
          <w:ilvl w:val="0"/>
          <w:numId w:val="10"/>
        </w:numPr>
        <w:tabs>
          <w:tab w:val="num" w:pos="0"/>
          <w:tab w:val="left" w:pos="284"/>
        </w:tabs>
        <w:spacing w:before="120" w:after="0"/>
        <w:ind w:left="0" w:firstLine="0"/>
        <w:rPr>
          <w:rFonts w:eastAsia="Times New Roman"/>
          <w:bCs/>
          <w:shd w:val="clear" w:color="auto" w:fill="FFFFFF"/>
          <w:lang w:val="ro-RO"/>
        </w:rPr>
      </w:pPr>
      <w:r w:rsidRPr="0032458C">
        <w:rPr>
          <w:rFonts w:eastAsia="Times New Roman"/>
          <w:b/>
          <w:bCs/>
          <w:shd w:val="clear" w:color="auto" w:fill="FFFFFF"/>
          <w:lang w:val="ro-RO"/>
        </w:rPr>
        <w:t>G</w:t>
      </w:r>
      <w:r w:rsidRPr="0032458C">
        <w:rPr>
          <w:rFonts w:eastAsia="Calibri"/>
          <w:b/>
          <w:bCs/>
          <w:lang w:val="ro-RO"/>
        </w:rPr>
        <w:t>ESTIONAREA MECANISMULUI DE IMPLEMENTARE A SNA DE CĂTRE INSTITUȚIILE PUBLICE (INCLUSIV ÎNTREPRINDERI PUBLICE)</w:t>
      </w:r>
    </w:p>
    <w:p w14:paraId="68EE05B4" w14:textId="77777777" w:rsidR="00977BC4" w:rsidRPr="0032458C" w:rsidRDefault="00977BC4" w:rsidP="00977BC4">
      <w:pPr>
        <w:tabs>
          <w:tab w:val="num" w:pos="0"/>
        </w:tabs>
        <w:spacing w:before="120" w:after="0"/>
        <w:ind w:left="0"/>
        <w:rPr>
          <w:rFonts w:eastAsia="Calibri"/>
          <w:lang w:val="ro-RO"/>
        </w:rPr>
      </w:pPr>
      <w:r w:rsidRPr="0032458C">
        <w:rPr>
          <w:rFonts w:eastAsia="Calibri"/>
          <w:lang w:val="ro-RO"/>
        </w:rPr>
        <w:t xml:space="preserve">După cum a fost menționat mai sus, apreciem că este necesară o mai mare implicare a ANPC în coordonarea și monitorizarea implementării SNA la nivelul structurilor subordonate, inclusiv prin elaborarea și introducerea unor proceduri clare și canale de comunicare prin </w:t>
      </w:r>
      <w:r w:rsidRPr="0032458C">
        <w:rPr>
          <w:rFonts w:eastAsia="Calibri"/>
          <w:lang w:val="ro-RO"/>
        </w:rPr>
        <w:lastRenderedPageBreak/>
        <w:t>care să fie încurajat schimbul de informații în domeniul integrității între ANPC și cele 8 comisariate regionale.</w:t>
      </w:r>
    </w:p>
    <w:p w14:paraId="0E5DB0BF" w14:textId="77777777" w:rsidR="00977BC4" w:rsidRPr="0032458C" w:rsidRDefault="00977BC4" w:rsidP="00977BC4">
      <w:pPr>
        <w:tabs>
          <w:tab w:val="num" w:pos="0"/>
        </w:tabs>
        <w:ind w:left="0"/>
      </w:pPr>
    </w:p>
    <w:p w14:paraId="1C08C572" w14:textId="77777777" w:rsidR="00FF554B" w:rsidRPr="004E3089" w:rsidRDefault="00FF554B" w:rsidP="00977BC4">
      <w:pPr>
        <w:spacing w:before="120"/>
        <w:ind w:left="0"/>
      </w:pPr>
    </w:p>
    <w:sectPr w:rsidR="00FF554B" w:rsidRPr="004E3089" w:rsidSect="007A3870">
      <w:headerReference w:type="default" r:id="rId8"/>
      <w:footerReference w:type="default" r:id="rId9"/>
      <w:headerReference w:type="first" r:id="rId10"/>
      <w:footerReference w:type="first" r:id="rId11"/>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90192" w14:textId="77777777" w:rsidR="00D307DD" w:rsidRDefault="00D307DD" w:rsidP="00CD5B3B">
      <w:r>
        <w:separator/>
      </w:r>
    </w:p>
  </w:endnote>
  <w:endnote w:type="continuationSeparator" w:id="0">
    <w:p w14:paraId="796D62BE" w14:textId="77777777" w:rsidR="00D307DD" w:rsidRDefault="00D307D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319C63C7" w:rsidR="00036CF6" w:rsidRPr="00B66E1D" w:rsidRDefault="00036CF6" w:rsidP="00CD7F9B">
          <w:pPr>
            <w:tabs>
              <w:tab w:val="center" w:pos="4536"/>
              <w:tab w:val="right" w:pos="9072"/>
            </w:tabs>
            <w:spacing w:after="0" w:line="240" w:lineRule="auto"/>
            <w:ind w:left="0"/>
            <w:rPr>
              <w:sz w:val="14"/>
              <w:szCs w:val="14"/>
              <w:lang w:val="es-ES"/>
            </w:rPr>
          </w:pPr>
          <w:r w:rsidRPr="00B66E1D">
            <w:rPr>
              <w:sz w:val="14"/>
              <w:szCs w:val="14"/>
              <w:lang w:val="es-ES"/>
            </w:rPr>
            <w:t>Pag</w:t>
          </w:r>
          <w:r w:rsidR="00792142">
            <w:rPr>
              <w:sz w:val="14"/>
              <w:szCs w:val="14"/>
              <w:lang w:val="es-ES"/>
            </w:rPr>
            <w:t>.</w:t>
          </w:r>
          <w:r w:rsidRPr="00B66E1D">
            <w:rPr>
              <w:sz w:val="14"/>
              <w:szCs w:val="14"/>
              <w:lang w:val="es-ES"/>
            </w:rPr>
            <w:t xml:space="preserve"> </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2C20A0">
            <w:rPr>
              <w:noProof/>
              <w:sz w:val="14"/>
              <w:szCs w:val="14"/>
              <w:lang w:val="es-ES"/>
            </w:rPr>
            <w:t>8</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4" w:name="_Hlk152662735"/>
    <w:r w:rsidRPr="00664D7A">
      <w:rPr>
        <w:rFonts w:eastAsia="Times New Roman"/>
        <w:b/>
      </w:rPr>
      <w:t xml:space="preserve">Secretariatul tehnic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Str. Apolodor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București, România</w:t>
    </w:r>
    <w:r w:rsidR="0001515D">
      <w:rPr>
        <w:rFonts w:eastAsia="Times New Roman" w:cs="Arial"/>
        <w:b/>
        <w:color w:val="003366"/>
        <w:sz w:val="16"/>
        <w:szCs w:val="16"/>
        <w:lang w:eastAsia="ro-RO"/>
      </w:rPr>
      <w:t xml:space="preserve">                                             </w:t>
    </w:r>
  </w:p>
  <w:p w14:paraId="52B193CA" w14:textId="77777777" w:rsidR="00CD7F9B" w:rsidRPr="00664D7A" w:rsidRDefault="00D307DD"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4"/>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B9E99" w14:textId="77777777" w:rsidR="00D307DD" w:rsidRDefault="00D307DD" w:rsidP="00871565">
      <w:pPr>
        <w:spacing w:after="0"/>
        <w:ind w:left="0"/>
      </w:pPr>
      <w:r>
        <w:separator/>
      </w:r>
    </w:p>
  </w:footnote>
  <w:footnote w:type="continuationSeparator" w:id="0">
    <w:p w14:paraId="02F2BA4C" w14:textId="77777777" w:rsidR="00D307DD" w:rsidRDefault="00D307DD" w:rsidP="00871565">
      <w:pPr>
        <w:ind w:left="0"/>
      </w:pPr>
      <w:r>
        <w:continuationSeparator/>
      </w:r>
    </w:p>
  </w:footnote>
  <w:footnote w:type="continuationNotice" w:id="1">
    <w:p w14:paraId="51E98E1A" w14:textId="77777777" w:rsidR="00D307DD" w:rsidRDefault="00D307DD"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55F"/>
    <w:multiLevelType w:val="hybridMultilevel"/>
    <w:tmpl w:val="B76C2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multilevel"/>
    <w:tmpl w:val="FAEE47D8"/>
    <w:lvl w:ilvl="0">
      <w:start w:val="1"/>
      <w:numFmt w:val="upperLetter"/>
      <w:lvlText w:val="%1."/>
      <w:lvlJc w:val="left"/>
      <w:pPr>
        <w:tabs>
          <w:tab w:val="num" w:pos="720"/>
        </w:tabs>
        <w:ind w:left="720" w:hanging="360"/>
      </w:pPr>
      <w:rPr>
        <w:b/>
        <w:bCs w:val="0"/>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 w15:restartNumberingAfterBreak="0">
    <w:nsid w:val="04A30852"/>
    <w:multiLevelType w:val="hybridMultilevel"/>
    <w:tmpl w:val="9F8AF2F2"/>
    <w:lvl w:ilvl="0" w:tplc="AB8EE442">
      <w:start w:val="1"/>
      <w:numFmt w:val="upperRoman"/>
      <w:lvlText w:val="%1."/>
      <w:lvlJc w:val="left"/>
      <w:pPr>
        <w:ind w:left="1440" w:hanging="720"/>
      </w:pPr>
      <w:rPr>
        <w:rFonts w:hint="default"/>
      </w:rPr>
    </w:lvl>
    <w:lvl w:ilvl="1" w:tplc="E65C0534">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166AA"/>
    <w:multiLevelType w:val="hybridMultilevel"/>
    <w:tmpl w:val="B1243D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D10281"/>
    <w:multiLevelType w:val="hybridMultilevel"/>
    <w:tmpl w:val="71D2F6A0"/>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93128ED"/>
    <w:multiLevelType w:val="hybridMultilevel"/>
    <w:tmpl w:val="75D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B12A5D"/>
    <w:multiLevelType w:val="multilevel"/>
    <w:tmpl w:val="B5A4CEC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0104282"/>
    <w:multiLevelType w:val="hybridMultilevel"/>
    <w:tmpl w:val="4F864EFC"/>
    <w:lvl w:ilvl="0" w:tplc="2F5EA9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423EB"/>
    <w:multiLevelType w:val="hybridMultilevel"/>
    <w:tmpl w:val="6CEAD68A"/>
    <w:lvl w:ilvl="0" w:tplc="1E5272B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D65C5"/>
    <w:multiLevelType w:val="hybridMultilevel"/>
    <w:tmpl w:val="F30CD3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727CD"/>
    <w:multiLevelType w:val="hybridMultilevel"/>
    <w:tmpl w:val="5A74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60643"/>
    <w:multiLevelType w:val="hybridMultilevel"/>
    <w:tmpl w:val="B62E7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8452E"/>
    <w:multiLevelType w:val="hybridMultilevel"/>
    <w:tmpl w:val="75F845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3E2613"/>
    <w:multiLevelType w:val="hybridMultilevel"/>
    <w:tmpl w:val="CBECC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F7D3E"/>
    <w:multiLevelType w:val="hybridMultilevel"/>
    <w:tmpl w:val="F41A20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6C5994"/>
    <w:multiLevelType w:val="hybridMultilevel"/>
    <w:tmpl w:val="8BEC5FD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3B111CA"/>
    <w:multiLevelType w:val="hybridMultilevel"/>
    <w:tmpl w:val="403CAA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ED67F3"/>
    <w:multiLevelType w:val="hybridMultilevel"/>
    <w:tmpl w:val="3B360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06122"/>
    <w:multiLevelType w:val="hybridMultilevel"/>
    <w:tmpl w:val="35E63C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CC64AD"/>
    <w:multiLevelType w:val="hybridMultilevel"/>
    <w:tmpl w:val="637E3DE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1E6DD0"/>
    <w:multiLevelType w:val="hybridMultilevel"/>
    <w:tmpl w:val="15A6D122"/>
    <w:lvl w:ilvl="0" w:tplc="04090005">
      <w:start w:val="1"/>
      <w:numFmt w:val="bullet"/>
      <w:lvlText w:val=""/>
      <w:lvlJc w:val="left"/>
      <w:pPr>
        <w:ind w:left="720" w:hanging="360"/>
      </w:pPr>
      <w:rPr>
        <w:rFonts w:ascii="Wingdings" w:hAnsi="Wingdings" w:hint="default"/>
      </w:rPr>
    </w:lvl>
    <w:lvl w:ilvl="1" w:tplc="8C0AC926">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85806"/>
    <w:multiLevelType w:val="hybridMultilevel"/>
    <w:tmpl w:val="B170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B54EE"/>
    <w:multiLevelType w:val="hybridMultilevel"/>
    <w:tmpl w:val="17E61A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5E733419"/>
    <w:multiLevelType w:val="hybridMultilevel"/>
    <w:tmpl w:val="D17C3B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2C2C"/>
    <w:multiLevelType w:val="hybridMultilevel"/>
    <w:tmpl w:val="86D04314"/>
    <w:lvl w:ilvl="0" w:tplc="A96AC54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E48BD"/>
    <w:multiLevelType w:val="hybridMultilevel"/>
    <w:tmpl w:val="701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61244"/>
    <w:multiLevelType w:val="hybridMultilevel"/>
    <w:tmpl w:val="E500E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3033B"/>
    <w:multiLevelType w:val="hybridMultilevel"/>
    <w:tmpl w:val="161A6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C303F"/>
    <w:multiLevelType w:val="hybridMultilevel"/>
    <w:tmpl w:val="E604EC1C"/>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245E42"/>
    <w:multiLevelType w:val="hybridMultilevel"/>
    <w:tmpl w:val="614AA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03FF5"/>
    <w:multiLevelType w:val="hybridMultilevel"/>
    <w:tmpl w:val="C7B2AE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AE092E"/>
    <w:multiLevelType w:val="hybridMultilevel"/>
    <w:tmpl w:val="B6F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32"/>
  </w:num>
  <w:num w:numId="4">
    <w:abstractNumId w:val="6"/>
  </w:num>
  <w:num w:numId="5">
    <w:abstractNumId w:val="33"/>
  </w:num>
  <w:num w:numId="6">
    <w:abstractNumId w:val="16"/>
  </w:num>
  <w:num w:numId="7">
    <w:abstractNumId w:val="23"/>
  </w:num>
  <w:num w:numId="8">
    <w:abstractNumId w:val="9"/>
  </w:num>
  <w:num w:numId="9">
    <w:abstractNumId w:val="17"/>
  </w:num>
  <w:num w:numId="10">
    <w:abstractNumId w:val="28"/>
  </w:num>
  <w:num w:numId="11">
    <w:abstractNumId w:val="20"/>
  </w:num>
  <w:num w:numId="12">
    <w:abstractNumId w:val="2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7"/>
  </w:num>
  <w:num w:numId="16">
    <w:abstractNumId w:val="0"/>
  </w:num>
  <w:num w:numId="17">
    <w:abstractNumId w:val="34"/>
  </w:num>
  <w:num w:numId="18">
    <w:abstractNumId w:val="3"/>
  </w:num>
  <w:num w:numId="19">
    <w:abstractNumId w:val="19"/>
  </w:num>
  <w:num w:numId="20">
    <w:abstractNumId w:val="21"/>
  </w:num>
  <w:num w:numId="21">
    <w:abstractNumId w:val="10"/>
  </w:num>
  <w:num w:numId="22">
    <w:abstractNumId w:val="8"/>
  </w:num>
  <w:num w:numId="23">
    <w:abstractNumId w:val="35"/>
  </w:num>
  <w:num w:numId="24">
    <w:abstractNumId w:val="26"/>
  </w:num>
  <w:num w:numId="25">
    <w:abstractNumId w:val="4"/>
  </w:num>
  <w:num w:numId="26">
    <w:abstractNumId w:val="2"/>
  </w:num>
  <w:num w:numId="27">
    <w:abstractNumId w:val="30"/>
  </w:num>
  <w:num w:numId="28">
    <w:abstractNumId w:val="31"/>
  </w:num>
  <w:num w:numId="29">
    <w:abstractNumId w:val="12"/>
  </w:num>
  <w:num w:numId="30">
    <w:abstractNumId w:val="15"/>
  </w:num>
  <w:num w:numId="31">
    <w:abstractNumId w:val="13"/>
  </w:num>
  <w:num w:numId="32">
    <w:abstractNumId w:val="22"/>
  </w:num>
  <w:num w:numId="33">
    <w:abstractNumId w:val="5"/>
  </w:num>
  <w:num w:numId="34">
    <w:abstractNumId w:val="27"/>
  </w:num>
  <w:num w:numId="35">
    <w:abstractNumId w:val="1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515D"/>
    <w:rsid w:val="0002256C"/>
    <w:rsid w:val="00023330"/>
    <w:rsid w:val="00026B77"/>
    <w:rsid w:val="0003025D"/>
    <w:rsid w:val="00036CF6"/>
    <w:rsid w:val="00054D40"/>
    <w:rsid w:val="00056BE2"/>
    <w:rsid w:val="00057A9D"/>
    <w:rsid w:val="00072D9B"/>
    <w:rsid w:val="00093A08"/>
    <w:rsid w:val="00095939"/>
    <w:rsid w:val="000A2B3A"/>
    <w:rsid w:val="000A5AF6"/>
    <w:rsid w:val="000A67C7"/>
    <w:rsid w:val="000D0C86"/>
    <w:rsid w:val="000E07D8"/>
    <w:rsid w:val="000E12C3"/>
    <w:rsid w:val="000F19F9"/>
    <w:rsid w:val="000F52D3"/>
    <w:rsid w:val="000F5564"/>
    <w:rsid w:val="00100F36"/>
    <w:rsid w:val="001042D0"/>
    <w:rsid w:val="00113A4C"/>
    <w:rsid w:val="00124D4F"/>
    <w:rsid w:val="00150E37"/>
    <w:rsid w:val="00161E68"/>
    <w:rsid w:val="00170786"/>
    <w:rsid w:val="001766CF"/>
    <w:rsid w:val="00180B28"/>
    <w:rsid w:val="0018375D"/>
    <w:rsid w:val="00184615"/>
    <w:rsid w:val="001A0DAC"/>
    <w:rsid w:val="001B5E0B"/>
    <w:rsid w:val="001D2C72"/>
    <w:rsid w:val="001D48E7"/>
    <w:rsid w:val="001F3E11"/>
    <w:rsid w:val="002062E1"/>
    <w:rsid w:val="00212A34"/>
    <w:rsid w:val="00221004"/>
    <w:rsid w:val="0022276A"/>
    <w:rsid w:val="002317A7"/>
    <w:rsid w:val="002336CD"/>
    <w:rsid w:val="002403DB"/>
    <w:rsid w:val="00251423"/>
    <w:rsid w:val="002606B0"/>
    <w:rsid w:val="0026444E"/>
    <w:rsid w:val="002662A0"/>
    <w:rsid w:val="00267D09"/>
    <w:rsid w:val="00271C56"/>
    <w:rsid w:val="00284333"/>
    <w:rsid w:val="00296627"/>
    <w:rsid w:val="002A5742"/>
    <w:rsid w:val="002B2D08"/>
    <w:rsid w:val="002B67ED"/>
    <w:rsid w:val="002C0E14"/>
    <w:rsid w:val="002C1141"/>
    <w:rsid w:val="002C20A0"/>
    <w:rsid w:val="002D19CA"/>
    <w:rsid w:val="002D361E"/>
    <w:rsid w:val="002E1753"/>
    <w:rsid w:val="002F22BA"/>
    <w:rsid w:val="002F68EC"/>
    <w:rsid w:val="0030015D"/>
    <w:rsid w:val="003127E0"/>
    <w:rsid w:val="0031771B"/>
    <w:rsid w:val="0032422C"/>
    <w:rsid w:val="003262C3"/>
    <w:rsid w:val="00326C3B"/>
    <w:rsid w:val="00351230"/>
    <w:rsid w:val="003521FC"/>
    <w:rsid w:val="00355CCE"/>
    <w:rsid w:val="00357AB2"/>
    <w:rsid w:val="0036088C"/>
    <w:rsid w:val="00363CAD"/>
    <w:rsid w:val="003677C6"/>
    <w:rsid w:val="003772FD"/>
    <w:rsid w:val="00377F07"/>
    <w:rsid w:val="003910DC"/>
    <w:rsid w:val="003C32CE"/>
    <w:rsid w:val="003E5349"/>
    <w:rsid w:val="003E750E"/>
    <w:rsid w:val="00412690"/>
    <w:rsid w:val="00412CDC"/>
    <w:rsid w:val="004170E2"/>
    <w:rsid w:val="0042171A"/>
    <w:rsid w:val="0043203D"/>
    <w:rsid w:val="0044081B"/>
    <w:rsid w:val="00451D1A"/>
    <w:rsid w:val="00462299"/>
    <w:rsid w:val="0047115C"/>
    <w:rsid w:val="00476EBF"/>
    <w:rsid w:val="004827CC"/>
    <w:rsid w:val="00493AD5"/>
    <w:rsid w:val="00493DD5"/>
    <w:rsid w:val="004A4C20"/>
    <w:rsid w:val="004B48C6"/>
    <w:rsid w:val="004D0421"/>
    <w:rsid w:val="004E3089"/>
    <w:rsid w:val="004E50CD"/>
    <w:rsid w:val="004E5AE5"/>
    <w:rsid w:val="004F094D"/>
    <w:rsid w:val="0051247E"/>
    <w:rsid w:val="0053694B"/>
    <w:rsid w:val="00536BCB"/>
    <w:rsid w:val="00540EA5"/>
    <w:rsid w:val="00543045"/>
    <w:rsid w:val="005436C0"/>
    <w:rsid w:val="005467AD"/>
    <w:rsid w:val="00550278"/>
    <w:rsid w:val="005714A5"/>
    <w:rsid w:val="005725E2"/>
    <w:rsid w:val="005A2684"/>
    <w:rsid w:val="005A3D33"/>
    <w:rsid w:val="005C1393"/>
    <w:rsid w:val="005C6F81"/>
    <w:rsid w:val="005D36B6"/>
    <w:rsid w:val="005D5D66"/>
    <w:rsid w:val="005E4E15"/>
    <w:rsid w:val="005E6FFA"/>
    <w:rsid w:val="005F32C6"/>
    <w:rsid w:val="00603DFF"/>
    <w:rsid w:val="00604DD4"/>
    <w:rsid w:val="0061068C"/>
    <w:rsid w:val="00614109"/>
    <w:rsid w:val="00616814"/>
    <w:rsid w:val="006215B3"/>
    <w:rsid w:val="0064189F"/>
    <w:rsid w:val="0065125B"/>
    <w:rsid w:val="00661D2B"/>
    <w:rsid w:val="0067448C"/>
    <w:rsid w:val="00677FEB"/>
    <w:rsid w:val="006A018E"/>
    <w:rsid w:val="006A263E"/>
    <w:rsid w:val="006A4488"/>
    <w:rsid w:val="006A5908"/>
    <w:rsid w:val="006B528B"/>
    <w:rsid w:val="006C2336"/>
    <w:rsid w:val="006D3E7D"/>
    <w:rsid w:val="006D7378"/>
    <w:rsid w:val="006E0A08"/>
    <w:rsid w:val="006E27F8"/>
    <w:rsid w:val="006F0C3E"/>
    <w:rsid w:val="007135D7"/>
    <w:rsid w:val="00722BEC"/>
    <w:rsid w:val="00723E30"/>
    <w:rsid w:val="00725F2C"/>
    <w:rsid w:val="00743D2D"/>
    <w:rsid w:val="00755D3C"/>
    <w:rsid w:val="007646B7"/>
    <w:rsid w:val="00766E0E"/>
    <w:rsid w:val="00784D36"/>
    <w:rsid w:val="00792142"/>
    <w:rsid w:val="00797C17"/>
    <w:rsid w:val="007A3870"/>
    <w:rsid w:val="007A417C"/>
    <w:rsid w:val="007B304F"/>
    <w:rsid w:val="007E7D11"/>
    <w:rsid w:val="00801824"/>
    <w:rsid w:val="0081010C"/>
    <w:rsid w:val="008231E2"/>
    <w:rsid w:val="008360E4"/>
    <w:rsid w:val="00840F14"/>
    <w:rsid w:val="008477A1"/>
    <w:rsid w:val="008601B4"/>
    <w:rsid w:val="00865A95"/>
    <w:rsid w:val="00870D7F"/>
    <w:rsid w:val="00871565"/>
    <w:rsid w:val="00871DA8"/>
    <w:rsid w:val="00875E3F"/>
    <w:rsid w:val="00882074"/>
    <w:rsid w:val="008848B7"/>
    <w:rsid w:val="0088750D"/>
    <w:rsid w:val="008A1618"/>
    <w:rsid w:val="008A2AC0"/>
    <w:rsid w:val="008A4108"/>
    <w:rsid w:val="008A4458"/>
    <w:rsid w:val="008B63B2"/>
    <w:rsid w:val="008C1365"/>
    <w:rsid w:val="008C5770"/>
    <w:rsid w:val="008D0B4C"/>
    <w:rsid w:val="008D58D8"/>
    <w:rsid w:val="00901E7F"/>
    <w:rsid w:val="009032FD"/>
    <w:rsid w:val="009066F6"/>
    <w:rsid w:val="00915096"/>
    <w:rsid w:val="00940259"/>
    <w:rsid w:val="00944E50"/>
    <w:rsid w:val="0094530E"/>
    <w:rsid w:val="00955B0B"/>
    <w:rsid w:val="00964E05"/>
    <w:rsid w:val="00965088"/>
    <w:rsid w:val="00974016"/>
    <w:rsid w:val="00977BC4"/>
    <w:rsid w:val="009A7B23"/>
    <w:rsid w:val="009C0C3B"/>
    <w:rsid w:val="009C496B"/>
    <w:rsid w:val="009D6133"/>
    <w:rsid w:val="009E7609"/>
    <w:rsid w:val="009F3D06"/>
    <w:rsid w:val="00A01A2B"/>
    <w:rsid w:val="00A01D1F"/>
    <w:rsid w:val="00A13890"/>
    <w:rsid w:val="00A323AB"/>
    <w:rsid w:val="00A44202"/>
    <w:rsid w:val="00A65CE5"/>
    <w:rsid w:val="00A75794"/>
    <w:rsid w:val="00A7669D"/>
    <w:rsid w:val="00A805AA"/>
    <w:rsid w:val="00A851E9"/>
    <w:rsid w:val="00A90ADF"/>
    <w:rsid w:val="00A93FCB"/>
    <w:rsid w:val="00AB77AC"/>
    <w:rsid w:val="00AD00C7"/>
    <w:rsid w:val="00AD3EDD"/>
    <w:rsid w:val="00AD7AB0"/>
    <w:rsid w:val="00AE26B4"/>
    <w:rsid w:val="00AE4EA0"/>
    <w:rsid w:val="00AF1D17"/>
    <w:rsid w:val="00B13BB4"/>
    <w:rsid w:val="00B14306"/>
    <w:rsid w:val="00B27AED"/>
    <w:rsid w:val="00B30670"/>
    <w:rsid w:val="00B371A2"/>
    <w:rsid w:val="00B513C0"/>
    <w:rsid w:val="00B66E1D"/>
    <w:rsid w:val="00B74543"/>
    <w:rsid w:val="00BA26E3"/>
    <w:rsid w:val="00BC507C"/>
    <w:rsid w:val="00BE4D48"/>
    <w:rsid w:val="00BF1455"/>
    <w:rsid w:val="00BF607A"/>
    <w:rsid w:val="00BF61AA"/>
    <w:rsid w:val="00BF7DC7"/>
    <w:rsid w:val="00C04D68"/>
    <w:rsid w:val="00C05271"/>
    <w:rsid w:val="00C05F49"/>
    <w:rsid w:val="00C20EF1"/>
    <w:rsid w:val="00C40D60"/>
    <w:rsid w:val="00C515F6"/>
    <w:rsid w:val="00C542FE"/>
    <w:rsid w:val="00C54591"/>
    <w:rsid w:val="00C56446"/>
    <w:rsid w:val="00C57E86"/>
    <w:rsid w:val="00C81AEA"/>
    <w:rsid w:val="00C832E7"/>
    <w:rsid w:val="00CA57CE"/>
    <w:rsid w:val="00CA7EF1"/>
    <w:rsid w:val="00CB549F"/>
    <w:rsid w:val="00CC0DB6"/>
    <w:rsid w:val="00CD0C6C"/>
    <w:rsid w:val="00CD0F06"/>
    <w:rsid w:val="00CD5A4D"/>
    <w:rsid w:val="00CD5B3B"/>
    <w:rsid w:val="00CD7F9B"/>
    <w:rsid w:val="00CE1717"/>
    <w:rsid w:val="00CE5733"/>
    <w:rsid w:val="00D026A3"/>
    <w:rsid w:val="00D06E9C"/>
    <w:rsid w:val="00D12377"/>
    <w:rsid w:val="00D22183"/>
    <w:rsid w:val="00D232AB"/>
    <w:rsid w:val="00D26A2F"/>
    <w:rsid w:val="00D307DD"/>
    <w:rsid w:val="00D327AD"/>
    <w:rsid w:val="00D41980"/>
    <w:rsid w:val="00D476B7"/>
    <w:rsid w:val="00D62CDD"/>
    <w:rsid w:val="00D65DC9"/>
    <w:rsid w:val="00D86061"/>
    <w:rsid w:val="00D86F1D"/>
    <w:rsid w:val="00D93F53"/>
    <w:rsid w:val="00D9453E"/>
    <w:rsid w:val="00D96458"/>
    <w:rsid w:val="00DB087E"/>
    <w:rsid w:val="00DB2333"/>
    <w:rsid w:val="00DB43B1"/>
    <w:rsid w:val="00DD41DA"/>
    <w:rsid w:val="00DD4D27"/>
    <w:rsid w:val="00DE7F5D"/>
    <w:rsid w:val="00DF3E11"/>
    <w:rsid w:val="00DF7BF3"/>
    <w:rsid w:val="00DF7E1B"/>
    <w:rsid w:val="00E0323B"/>
    <w:rsid w:val="00E04E0D"/>
    <w:rsid w:val="00E06D23"/>
    <w:rsid w:val="00E070CF"/>
    <w:rsid w:val="00E4198A"/>
    <w:rsid w:val="00E532F8"/>
    <w:rsid w:val="00E562FC"/>
    <w:rsid w:val="00E64A57"/>
    <w:rsid w:val="00E72F47"/>
    <w:rsid w:val="00E77F23"/>
    <w:rsid w:val="00E80D5E"/>
    <w:rsid w:val="00EA0F6C"/>
    <w:rsid w:val="00EA37F7"/>
    <w:rsid w:val="00EB6ABD"/>
    <w:rsid w:val="00ED27DE"/>
    <w:rsid w:val="00ED3CB8"/>
    <w:rsid w:val="00EE0D8D"/>
    <w:rsid w:val="00EE32F2"/>
    <w:rsid w:val="00EE4A71"/>
    <w:rsid w:val="00F20C2E"/>
    <w:rsid w:val="00F250C3"/>
    <w:rsid w:val="00F30363"/>
    <w:rsid w:val="00F3692C"/>
    <w:rsid w:val="00F56471"/>
    <w:rsid w:val="00F67D20"/>
    <w:rsid w:val="00F70995"/>
    <w:rsid w:val="00F72651"/>
    <w:rsid w:val="00FA7D0C"/>
    <w:rsid w:val="00FB3F7D"/>
    <w:rsid w:val="00FB6D27"/>
    <w:rsid w:val="00FC4284"/>
    <w:rsid w:val="00FC7E0D"/>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iPriority w:val="99"/>
    <w:semiHidden/>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FC1B2-22D6-4A31-9081-713A76E9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TotalTime>
  <Pages>1</Pages>
  <Words>2455</Words>
  <Characters>13997</Characters>
  <Application>Microsoft Office Word</Application>
  <DocSecurity>0</DocSecurity>
  <Lines>116</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16420</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Duta</dc:creator>
  <cp:lastModifiedBy>Stefania Duta</cp:lastModifiedBy>
  <cp:revision>10</cp:revision>
  <cp:lastPrinted>2024-07-12T06:23:00Z</cp:lastPrinted>
  <dcterms:created xsi:type="dcterms:W3CDTF">2023-12-05T11:10:00Z</dcterms:created>
  <dcterms:modified xsi:type="dcterms:W3CDTF">2024-07-12T06:23:00Z</dcterms:modified>
</cp:coreProperties>
</file>