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624B3AC6" w14:textId="77777777" w:rsidR="00384E6F" w:rsidRPr="00384E6F" w:rsidRDefault="00384E6F" w:rsidP="00384E6F">
      <w:pPr>
        <w:spacing w:before="120"/>
        <w:ind w:left="0"/>
        <w:rPr>
          <w:rFonts w:eastAsia="Calibri"/>
          <w:szCs w:val="24"/>
          <w:lang w:val="ro-RO"/>
        </w:rPr>
      </w:pPr>
    </w:p>
    <w:p w14:paraId="4839FDB3" w14:textId="77777777" w:rsidR="00BE2DFA" w:rsidRPr="00BE2DFA" w:rsidRDefault="00BE2DFA" w:rsidP="00BE2DFA">
      <w:pPr>
        <w:ind w:left="0"/>
        <w:rPr>
          <w:rFonts w:eastAsia="Calibri"/>
          <w:szCs w:val="24"/>
          <w:lang w:val="ro-RO"/>
        </w:rPr>
      </w:pPr>
    </w:p>
    <w:p w14:paraId="73C6A2AE" w14:textId="77777777" w:rsidR="00BE2DFA" w:rsidRPr="00BE2DFA" w:rsidRDefault="00BE2DFA" w:rsidP="00BE2DFA">
      <w:pPr>
        <w:ind w:left="0"/>
        <w:rPr>
          <w:rFonts w:eastAsia="Times New Roman" w:cs="Arial"/>
          <w:b/>
          <w:sz w:val="32"/>
          <w:szCs w:val="32"/>
          <w:lang w:val="ro-RO"/>
        </w:rPr>
      </w:pPr>
    </w:p>
    <w:p w14:paraId="265BD836" w14:textId="77777777" w:rsidR="00BE2DFA" w:rsidRPr="00BE2DFA" w:rsidRDefault="00BE2DFA" w:rsidP="00BE2DFA">
      <w:pPr>
        <w:ind w:left="0"/>
        <w:jc w:val="center"/>
        <w:rPr>
          <w:rFonts w:eastAsia="Times New Roman" w:cs="Arial"/>
          <w:bCs/>
          <w:sz w:val="32"/>
          <w:szCs w:val="32"/>
          <w:lang w:val="ro-RO"/>
        </w:rPr>
      </w:pPr>
      <w:r w:rsidRPr="00BE2DFA">
        <w:rPr>
          <w:rFonts w:eastAsia="Times New Roman" w:cs="Arial"/>
          <w:bCs/>
          <w:sz w:val="32"/>
          <w:szCs w:val="32"/>
          <w:lang w:val="ro-RO"/>
        </w:rPr>
        <w:t>EVALUAREA TEMATICĂ A</w:t>
      </w:r>
    </w:p>
    <w:p w14:paraId="2C8251C8" w14:textId="06EA6E4C" w:rsidR="00BE2DFA" w:rsidRPr="00BE2DFA" w:rsidRDefault="00BE2DFA" w:rsidP="00BE2DFA">
      <w:pPr>
        <w:ind w:left="0"/>
        <w:jc w:val="center"/>
        <w:rPr>
          <w:rFonts w:eastAsia="Times New Roman" w:cs="Arial"/>
          <w:bCs/>
          <w:sz w:val="32"/>
          <w:szCs w:val="32"/>
          <w:lang w:val="ro-RO"/>
        </w:rPr>
      </w:pPr>
      <w:r w:rsidRPr="00BE2DFA">
        <w:rPr>
          <w:rFonts w:eastAsia="Times New Roman" w:cs="Arial"/>
          <w:bCs/>
          <w:sz w:val="32"/>
          <w:szCs w:val="32"/>
          <w:lang w:val="ro-RO"/>
        </w:rPr>
        <w:t>TEATRULUI NAȚIONAL „I.L</w:t>
      </w:r>
      <w:r w:rsidR="00E83BA4">
        <w:rPr>
          <w:rFonts w:eastAsia="Times New Roman" w:cs="Arial"/>
          <w:bCs/>
          <w:sz w:val="32"/>
          <w:szCs w:val="32"/>
          <w:lang w:val="ro-RO"/>
        </w:rPr>
        <w:t>.</w:t>
      </w:r>
      <w:r w:rsidRPr="00BE2DFA">
        <w:rPr>
          <w:rFonts w:eastAsia="Times New Roman" w:cs="Arial"/>
          <w:bCs/>
          <w:sz w:val="32"/>
          <w:szCs w:val="32"/>
          <w:lang w:val="ro-RO"/>
        </w:rPr>
        <w:t xml:space="preserve"> CARAGIALE” BUCUREȘTI</w:t>
      </w:r>
    </w:p>
    <w:p w14:paraId="1E88280C" w14:textId="77777777" w:rsidR="00BE2DFA" w:rsidRPr="00BE2DFA" w:rsidRDefault="00BE2DFA" w:rsidP="00BE2DFA">
      <w:pPr>
        <w:ind w:left="0"/>
        <w:jc w:val="center"/>
        <w:rPr>
          <w:rFonts w:eastAsia="Times New Roman" w:cs="Arial"/>
          <w:b/>
          <w:sz w:val="32"/>
          <w:szCs w:val="32"/>
          <w:lang w:val="ro-RO"/>
        </w:rPr>
      </w:pPr>
      <w:r w:rsidRPr="00BE2DFA">
        <w:rPr>
          <w:rFonts w:eastAsia="Times New Roman" w:cs="Arial"/>
          <w:bCs/>
          <w:sz w:val="32"/>
          <w:szCs w:val="32"/>
          <w:lang w:val="ro-RO"/>
        </w:rPr>
        <w:t>PRIVIND IMPLEMENTAREA</w:t>
      </w:r>
    </w:p>
    <w:p w14:paraId="68750549" w14:textId="77777777" w:rsidR="00BE2DFA" w:rsidRPr="00BE2DFA" w:rsidRDefault="00BE2DFA" w:rsidP="00BE2DFA">
      <w:pPr>
        <w:ind w:left="0"/>
        <w:jc w:val="center"/>
        <w:rPr>
          <w:rFonts w:eastAsia="Times New Roman" w:cs="Arial"/>
          <w:b/>
          <w:sz w:val="32"/>
          <w:szCs w:val="32"/>
          <w:lang w:val="ro-RO"/>
        </w:rPr>
      </w:pPr>
      <w:r w:rsidRPr="00BE2DFA">
        <w:rPr>
          <w:rFonts w:eastAsia="Times New Roman" w:cs="Arial"/>
          <w:b/>
          <w:sz w:val="32"/>
          <w:szCs w:val="32"/>
          <w:lang w:val="ro-RO"/>
        </w:rPr>
        <w:t>STRATEGIEI NAȚIONALE ANTICORUPȚIE 2021 – 2025</w:t>
      </w:r>
    </w:p>
    <w:p w14:paraId="6C58B2CF" w14:textId="77777777" w:rsidR="00BE2DFA" w:rsidRPr="00BE2DFA" w:rsidRDefault="00BE2DFA" w:rsidP="00BE2DFA">
      <w:pPr>
        <w:ind w:left="0"/>
        <w:jc w:val="center"/>
        <w:rPr>
          <w:rFonts w:eastAsia="Times New Roman" w:cs="Arial"/>
          <w:b/>
          <w:sz w:val="32"/>
          <w:szCs w:val="32"/>
          <w:lang w:val="ro-RO"/>
        </w:rPr>
      </w:pPr>
    </w:p>
    <w:p w14:paraId="21D0A19E" w14:textId="77777777" w:rsidR="00BE2DFA" w:rsidRPr="00BE2DFA" w:rsidRDefault="00BE2DFA" w:rsidP="00BE2DFA">
      <w:pPr>
        <w:ind w:left="0"/>
        <w:jc w:val="center"/>
        <w:rPr>
          <w:rFonts w:eastAsia="Times New Roman" w:cs="Arial"/>
          <w:b/>
          <w:sz w:val="32"/>
          <w:szCs w:val="32"/>
          <w:lang w:val="ro-RO"/>
        </w:rPr>
      </w:pPr>
    </w:p>
    <w:p w14:paraId="5BD4EBF6" w14:textId="77777777" w:rsidR="00BE2DFA" w:rsidRPr="00BE2DFA" w:rsidRDefault="00BE2DFA" w:rsidP="00BE2DFA">
      <w:pPr>
        <w:ind w:left="0"/>
        <w:jc w:val="center"/>
        <w:rPr>
          <w:rFonts w:eastAsia="Times New Roman" w:cs="Arial"/>
          <w:b/>
          <w:sz w:val="32"/>
          <w:szCs w:val="32"/>
          <w:lang w:val="ro-RO"/>
        </w:rPr>
      </w:pPr>
    </w:p>
    <w:p w14:paraId="126D13BD" w14:textId="77777777" w:rsidR="00BE2DFA" w:rsidRPr="00BE2DFA" w:rsidRDefault="00BE2DFA" w:rsidP="00BE2DFA">
      <w:pPr>
        <w:ind w:left="0"/>
        <w:jc w:val="center"/>
        <w:rPr>
          <w:rFonts w:eastAsia="Times New Roman" w:cs="Arial"/>
          <w:b/>
          <w:sz w:val="32"/>
          <w:szCs w:val="32"/>
          <w:lang w:val="ro-RO"/>
        </w:rPr>
      </w:pPr>
    </w:p>
    <w:p w14:paraId="7D9AE531" w14:textId="77777777" w:rsidR="00BE2DFA" w:rsidRPr="00BE2DFA" w:rsidRDefault="00BE2DFA" w:rsidP="00BF2B8D">
      <w:pPr>
        <w:ind w:left="0"/>
        <w:jc w:val="center"/>
        <w:rPr>
          <w:rFonts w:eastAsia="Times New Roman" w:cs="Arial"/>
          <w:b/>
          <w:sz w:val="32"/>
          <w:szCs w:val="32"/>
          <w:lang w:val="ro-RO"/>
        </w:rPr>
      </w:pPr>
      <w:r w:rsidRPr="00BE2DFA">
        <w:rPr>
          <w:rFonts w:eastAsia="Times New Roman" w:cs="Arial"/>
          <w:b/>
          <w:sz w:val="32"/>
          <w:szCs w:val="32"/>
          <w:lang w:val="ro-RO"/>
        </w:rPr>
        <w:t>Raport de evaluare</w:t>
      </w:r>
    </w:p>
    <w:p w14:paraId="3A577719" w14:textId="77777777" w:rsidR="00BE2DFA" w:rsidRPr="00BE2DFA" w:rsidRDefault="00BE2DFA" w:rsidP="00BF2B8D">
      <w:pPr>
        <w:ind w:left="0"/>
        <w:jc w:val="center"/>
        <w:rPr>
          <w:rFonts w:eastAsia="Times New Roman" w:cs="Arial"/>
          <w:b/>
          <w:sz w:val="32"/>
          <w:szCs w:val="32"/>
          <w:lang w:val="ro-RO"/>
        </w:rPr>
      </w:pPr>
    </w:p>
    <w:p w14:paraId="4880BBF2" w14:textId="77777777" w:rsidR="00BE2DFA" w:rsidRPr="00BE2DFA" w:rsidRDefault="00BE2DFA" w:rsidP="00BF2B8D">
      <w:pPr>
        <w:ind w:left="0"/>
        <w:jc w:val="center"/>
        <w:rPr>
          <w:rFonts w:eastAsia="Times New Roman" w:cs="Arial"/>
          <w:b/>
          <w:sz w:val="32"/>
          <w:szCs w:val="32"/>
          <w:lang w:val="ro-RO"/>
        </w:rPr>
      </w:pPr>
    </w:p>
    <w:p w14:paraId="0DB6FFCB" w14:textId="77777777" w:rsidR="00BE2DFA" w:rsidRPr="00BE2DFA" w:rsidRDefault="00BE2DFA" w:rsidP="00BF2B8D">
      <w:pPr>
        <w:ind w:left="0"/>
        <w:jc w:val="center"/>
        <w:rPr>
          <w:rFonts w:eastAsia="Times New Roman" w:cs="Arial"/>
          <w:b/>
          <w:sz w:val="32"/>
          <w:szCs w:val="32"/>
          <w:lang w:val="ro-RO"/>
        </w:rPr>
      </w:pPr>
    </w:p>
    <w:p w14:paraId="407FD029" w14:textId="77777777" w:rsidR="00BE2DFA" w:rsidRPr="00BE2DFA" w:rsidRDefault="00BE2DFA" w:rsidP="00BF2B8D">
      <w:pPr>
        <w:ind w:left="0"/>
        <w:jc w:val="center"/>
        <w:rPr>
          <w:rFonts w:eastAsia="Times New Roman" w:cs="Arial"/>
          <w:b/>
          <w:sz w:val="32"/>
          <w:szCs w:val="32"/>
          <w:lang w:val="ro-RO"/>
        </w:rPr>
      </w:pPr>
    </w:p>
    <w:p w14:paraId="02617E54" w14:textId="77777777" w:rsidR="00BE2DFA" w:rsidRPr="00BE2DFA" w:rsidRDefault="00BE2DFA" w:rsidP="00BF2B8D">
      <w:pPr>
        <w:ind w:left="0"/>
        <w:jc w:val="center"/>
        <w:rPr>
          <w:rFonts w:eastAsia="Times New Roman" w:cs="Arial"/>
          <w:b/>
          <w:sz w:val="32"/>
          <w:szCs w:val="32"/>
          <w:lang w:val="ro-RO"/>
        </w:rPr>
      </w:pPr>
    </w:p>
    <w:p w14:paraId="7138104A" w14:textId="77777777" w:rsidR="00BE2DFA" w:rsidRPr="00BE2DFA" w:rsidRDefault="00BE2DFA" w:rsidP="00BF2B8D">
      <w:pPr>
        <w:ind w:left="0"/>
        <w:jc w:val="center"/>
        <w:rPr>
          <w:rFonts w:eastAsia="Times New Roman" w:cs="Arial"/>
          <w:b/>
          <w:sz w:val="32"/>
          <w:szCs w:val="32"/>
          <w:lang w:val="ro-RO"/>
        </w:rPr>
      </w:pPr>
    </w:p>
    <w:p w14:paraId="0ED5D46F" w14:textId="77777777" w:rsidR="00BE2DFA" w:rsidRPr="00BE2DFA" w:rsidRDefault="00BE2DFA" w:rsidP="00BF2B8D">
      <w:pPr>
        <w:ind w:left="0"/>
        <w:jc w:val="center"/>
        <w:rPr>
          <w:rFonts w:eastAsia="Times New Roman" w:cs="Arial"/>
          <w:b/>
          <w:sz w:val="32"/>
          <w:szCs w:val="32"/>
          <w:lang w:val="ro-RO"/>
        </w:rPr>
      </w:pPr>
    </w:p>
    <w:p w14:paraId="3C435FF2" w14:textId="418F7DE1" w:rsidR="00BE2DFA" w:rsidRPr="00BE2DFA" w:rsidRDefault="00BE2DFA" w:rsidP="00BF2B8D">
      <w:pPr>
        <w:ind w:left="0"/>
        <w:jc w:val="center"/>
        <w:rPr>
          <w:rFonts w:eastAsia="Times New Roman" w:cs="Arial"/>
          <w:b/>
          <w:sz w:val="32"/>
          <w:szCs w:val="32"/>
          <w:lang w:val="ro-RO"/>
        </w:rPr>
      </w:pPr>
      <w:r w:rsidRPr="00BE2DFA">
        <w:rPr>
          <w:rFonts w:eastAsia="Times New Roman" w:cs="Arial"/>
          <w:b/>
          <w:sz w:val="32"/>
          <w:szCs w:val="32"/>
          <w:lang w:val="ro-RO"/>
        </w:rPr>
        <w:t>202</w:t>
      </w:r>
      <w:r w:rsidR="002F0267">
        <w:rPr>
          <w:rFonts w:eastAsia="Times New Roman" w:cs="Arial"/>
          <w:b/>
          <w:sz w:val="32"/>
          <w:szCs w:val="32"/>
          <w:lang w:val="ro-RO"/>
        </w:rPr>
        <w:t>4</w:t>
      </w:r>
    </w:p>
    <w:p w14:paraId="7FC49489" w14:textId="77777777" w:rsidR="00BE2DFA" w:rsidRPr="00BE2DFA" w:rsidRDefault="00BE2DFA" w:rsidP="00BE2DFA">
      <w:pPr>
        <w:ind w:left="0"/>
        <w:rPr>
          <w:rFonts w:eastAsia="Times New Roman" w:cs="Arial"/>
          <w:b/>
          <w:sz w:val="28"/>
          <w:szCs w:val="28"/>
          <w:lang w:val="ro-RO"/>
        </w:rPr>
      </w:pPr>
      <w:r w:rsidRPr="00BE2DFA">
        <w:rPr>
          <w:rFonts w:eastAsia="Times New Roman" w:cs="Arial"/>
          <w:b/>
          <w:sz w:val="32"/>
          <w:szCs w:val="32"/>
          <w:lang w:val="ro-RO"/>
        </w:rPr>
        <w:br w:type="page"/>
      </w:r>
    </w:p>
    <w:p w14:paraId="338352DE" w14:textId="5F30E491" w:rsidR="00BE2DFA" w:rsidRPr="00BE2DFA" w:rsidRDefault="00BE2DFA" w:rsidP="00630A1B">
      <w:pPr>
        <w:numPr>
          <w:ilvl w:val="0"/>
          <w:numId w:val="5"/>
        </w:numPr>
        <w:spacing w:before="120"/>
        <w:ind w:left="-567" w:firstLine="0"/>
        <w:jc w:val="center"/>
        <w:rPr>
          <w:rFonts w:eastAsia="Calibri"/>
          <w:b/>
          <w:bCs/>
          <w:szCs w:val="24"/>
          <w:lang w:val="ro-RO"/>
        </w:rPr>
      </w:pPr>
      <w:r w:rsidRPr="00BE2DFA">
        <w:rPr>
          <w:rFonts w:eastAsia="Calibri"/>
          <w:b/>
          <w:bCs/>
          <w:szCs w:val="24"/>
          <w:lang w:val="ro-RO"/>
        </w:rPr>
        <w:lastRenderedPageBreak/>
        <w:t>TEATRUL NAȚIONAL „I.</w:t>
      </w:r>
      <w:r w:rsidR="00E83BA4">
        <w:rPr>
          <w:rFonts w:eastAsia="Calibri"/>
          <w:b/>
          <w:bCs/>
          <w:szCs w:val="24"/>
          <w:lang w:val="ro-RO"/>
        </w:rPr>
        <w:t xml:space="preserve"> </w:t>
      </w:r>
      <w:r w:rsidRPr="00BE2DFA">
        <w:rPr>
          <w:rFonts w:eastAsia="Calibri"/>
          <w:b/>
          <w:bCs/>
          <w:szCs w:val="24"/>
          <w:lang w:val="ro-RO"/>
        </w:rPr>
        <w:t>L</w:t>
      </w:r>
      <w:r w:rsidR="00E83BA4">
        <w:rPr>
          <w:rFonts w:eastAsia="Calibri"/>
          <w:b/>
          <w:bCs/>
          <w:szCs w:val="24"/>
          <w:lang w:val="ro-RO"/>
        </w:rPr>
        <w:t>.</w:t>
      </w:r>
      <w:r w:rsidRPr="00BE2DFA">
        <w:rPr>
          <w:rFonts w:eastAsia="Calibri"/>
          <w:b/>
          <w:bCs/>
          <w:szCs w:val="24"/>
          <w:lang w:val="ro-RO"/>
        </w:rPr>
        <w:t xml:space="preserve"> CARAGIALE” BUCUREȘTI</w:t>
      </w:r>
    </w:p>
    <w:p w14:paraId="500ED54E" w14:textId="77777777" w:rsidR="00BE2DFA" w:rsidRPr="00BE2DFA" w:rsidRDefault="00BE2DFA" w:rsidP="00630A1B">
      <w:pPr>
        <w:ind w:left="-567"/>
        <w:rPr>
          <w:rFonts w:eastAsia="Calibri"/>
          <w:b/>
          <w:bCs/>
          <w:szCs w:val="24"/>
          <w:lang w:val="ro-RO"/>
        </w:rPr>
      </w:pPr>
    </w:p>
    <w:p w14:paraId="6419F630" w14:textId="77777777" w:rsidR="00BE2DFA" w:rsidRPr="00BE2DFA" w:rsidRDefault="00BE2DFA" w:rsidP="00630A1B">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E2DFA">
        <w:rPr>
          <w:rFonts w:eastAsia="Times New Roman" w:cs="Arial"/>
          <w:b/>
          <w:lang w:val="ro-RO"/>
        </w:rPr>
        <w:t>I. INTRODUCERE</w:t>
      </w:r>
    </w:p>
    <w:p w14:paraId="3AD03A22" w14:textId="008AE5E1" w:rsidR="00BE2DFA" w:rsidRPr="00BE2DFA" w:rsidRDefault="00BE2DFA" w:rsidP="00630A1B">
      <w:pPr>
        <w:numPr>
          <w:ilvl w:val="0"/>
          <w:numId w:val="10"/>
        </w:numPr>
        <w:spacing w:before="120"/>
        <w:ind w:left="-567" w:firstLine="0"/>
        <w:rPr>
          <w:rFonts w:eastAsia="Calibri" w:cs="Arial"/>
          <w:szCs w:val="24"/>
          <w:lang w:val="ro-RO"/>
        </w:rPr>
      </w:pPr>
      <w:r w:rsidRPr="00BE2DFA">
        <w:rPr>
          <w:rFonts w:eastAsia="Times New Roman" w:cs="Arial"/>
          <w:b/>
          <w:bCs/>
          <w:i/>
          <w:lang w:val="ro-RO"/>
        </w:rPr>
        <w:t>Adresa fizică:</w:t>
      </w:r>
      <w:r w:rsidRPr="00BE2DFA">
        <w:rPr>
          <w:rFonts w:eastAsia="Calibri"/>
          <w:szCs w:val="24"/>
          <w:lang w:val="ro-RO"/>
        </w:rPr>
        <w:t xml:space="preserve"> </w:t>
      </w:r>
      <w:r w:rsidRPr="00BE2DFA">
        <w:rPr>
          <w:rFonts w:eastAsia="Calibri" w:cs="Arial"/>
          <w:szCs w:val="24"/>
          <w:lang w:val="ro-RO"/>
        </w:rPr>
        <w:t>București, strada Nicolae Bălcescu, nr.</w:t>
      </w:r>
      <w:r w:rsidR="00E83BA4">
        <w:rPr>
          <w:rFonts w:eastAsia="Calibri" w:cs="Arial"/>
          <w:szCs w:val="24"/>
          <w:lang w:val="ro-RO"/>
        </w:rPr>
        <w:t xml:space="preserve"> </w:t>
      </w:r>
      <w:r w:rsidRPr="00BE2DFA">
        <w:rPr>
          <w:rFonts w:eastAsia="Calibri" w:cs="Arial"/>
          <w:szCs w:val="24"/>
          <w:lang w:val="ro-RO"/>
        </w:rPr>
        <w:t>2-4, cod poștal 010051, sector 1.</w:t>
      </w:r>
    </w:p>
    <w:p w14:paraId="61530949" w14:textId="77777777" w:rsidR="00BE2DFA" w:rsidRPr="00BE2DFA" w:rsidRDefault="00BE2DFA" w:rsidP="00630A1B">
      <w:pPr>
        <w:numPr>
          <w:ilvl w:val="0"/>
          <w:numId w:val="10"/>
        </w:numPr>
        <w:spacing w:before="120"/>
        <w:ind w:left="-567" w:firstLine="0"/>
        <w:jc w:val="left"/>
        <w:rPr>
          <w:rFonts w:eastAsia="Calibri"/>
          <w:szCs w:val="24"/>
          <w:lang w:val="ro-RO"/>
        </w:rPr>
      </w:pPr>
      <w:r w:rsidRPr="00BE2DFA">
        <w:rPr>
          <w:rFonts w:eastAsia="Calibri"/>
          <w:szCs w:val="24"/>
          <w:lang w:val="ro-RO"/>
        </w:rPr>
        <w:t xml:space="preserve"> </w:t>
      </w:r>
      <w:r w:rsidRPr="00BE2DFA">
        <w:rPr>
          <w:rFonts w:eastAsia="Times New Roman" w:cs="Arial"/>
          <w:b/>
          <w:bCs/>
          <w:i/>
          <w:lang w:val="ro-RO"/>
        </w:rPr>
        <w:t>Adresa virtuală</w:t>
      </w:r>
      <w:r w:rsidRPr="00BE2DFA">
        <w:rPr>
          <w:rFonts w:eastAsia="Calibri" w:cs="Arial"/>
          <w:b/>
          <w:bCs/>
          <w:i/>
          <w:lang w:val="ro-RO"/>
        </w:rPr>
        <w:t xml:space="preserve">: </w:t>
      </w:r>
      <w:hyperlink r:id="rId8" w:history="1">
        <w:r w:rsidRPr="00BE2DFA">
          <w:rPr>
            <w:rFonts w:eastAsia="Calibri"/>
            <w:color w:val="0000FF"/>
            <w:szCs w:val="24"/>
            <w:u w:val="single"/>
            <w:lang w:val="ro-RO"/>
          </w:rPr>
          <w:t>www.tnb.ro</w:t>
        </w:r>
      </w:hyperlink>
      <w:r w:rsidRPr="00BE2DFA">
        <w:rPr>
          <w:rFonts w:eastAsia="Calibri"/>
          <w:szCs w:val="24"/>
          <w:lang w:val="ro-RO"/>
        </w:rPr>
        <w:t xml:space="preserve"> </w:t>
      </w:r>
    </w:p>
    <w:p w14:paraId="499814AE" w14:textId="77777777" w:rsidR="00BE2DFA" w:rsidRPr="00FC3DE2" w:rsidRDefault="00BE2DFA" w:rsidP="00630A1B">
      <w:pPr>
        <w:numPr>
          <w:ilvl w:val="0"/>
          <w:numId w:val="10"/>
        </w:numPr>
        <w:spacing w:before="120"/>
        <w:ind w:left="-567" w:firstLine="0"/>
        <w:jc w:val="left"/>
        <w:rPr>
          <w:rFonts w:eastAsia="Calibri"/>
          <w:szCs w:val="24"/>
          <w:lang w:val="ro-RO"/>
        </w:rPr>
      </w:pPr>
      <w:r w:rsidRPr="00BE2DFA">
        <w:rPr>
          <w:rFonts w:eastAsia="Times New Roman" w:cs="Arial"/>
          <w:b/>
          <w:bCs/>
          <w:i/>
          <w:lang w:val="ro-RO"/>
        </w:rPr>
        <w:t>Cadrul legal care reglementează activitatea instituției:</w:t>
      </w:r>
    </w:p>
    <w:p w14:paraId="271B1460" w14:textId="77777777" w:rsidR="00FC3DE2" w:rsidRDefault="00FC3DE2" w:rsidP="00FC3DE2">
      <w:pPr>
        <w:spacing w:after="0"/>
        <w:ind w:left="-567"/>
        <w:rPr>
          <w:rFonts w:eastAsia="Calibri" w:cs="Arial"/>
          <w:szCs w:val="24"/>
          <w:lang w:val="ro-RO"/>
        </w:rPr>
      </w:pPr>
      <w:r>
        <w:rPr>
          <w:rFonts w:eastAsia="Calibri" w:cs="Arial"/>
          <w:szCs w:val="24"/>
          <w:lang w:val="ro-RO"/>
        </w:rPr>
        <w:t xml:space="preserve">- </w:t>
      </w:r>
      <w:r w:rsidR="00BE2DFA" w:rsidRPr="00BE2DFA">
        <w:rPr>
          <w:rFonts w:eastAsia="Calibri" w:cs="Arial"/>
          <w:szCs w:val="24"/>
          <w:lang w:val="ro-RO"/>
        </w:rPr>
        <w:t>Hotărârea Guvernului nr. 803/2005, cu modificările și completările ulterioare;</w:t>
      </w:r>
    </w:p>
    <w:p w14:paraId="27078D27" w14:textId="77777777" w:rsidR="00FC3DE2" w:rsidRDefault="00FC3DE2" w:rsidP="00FC3DE2">
      <w:pPr>
        <w:spacing w:after="0"/>
        <w:ind w:left="-567"/>
        <w:rPr>
          <w:rFonts w:eastAsia="Calibri" w:cs="Arial"/>
          <w:szCs w:val="24"/>
          <w:lang w:val="ro-RO"/>
        </w:rPr>
      </w:pPr>
      <w:r>
        <w:rPr>
          <w:rFonts w:eastAsia="Calibri" w:cs="Arial"/>
          <w:szCs w:val="24"/>
          <w:lang w:val="ro-RO"/>
        </w:rPr>
        <w:t xml:space="preserve">- </w:t>
      </w:r>
      <w:r w:rsidR="00BE2DFA" w:rsidRPr="00BE2DFA">
        <w:rPr>
          <w:rFonts w:eastAsia="Calibri" w:cs="Arial"/>
          <w:szCs w:val="24"/>
          <w:lang w:val="ro-RO"/>
        </w:rPr>
        <w:t>Ordonanța de urgență nr. 189/2008 privind managementul instituțiilor publice de cultură, cu modificările și completările ulterioare;</w:t>
      </w:r>
    </w:p>
    <w:p w14:paraId="7523A6CA" w14:textId="54209A79" w:rsidR="00BE2DFA" w:rsidRPr="00BE2DFA" w:rsidRDefault="00FC3DE2" w:rsidP="00FC3DE2">
      <w:pPr>
        <w:spacing w:after="0"/>
        <w:ind w:left="-567"/>
        <w:rPr>
          <w:rFonts w:eastAsia="Calibri" w:cs="Arial"/>
          <w:szCs w:val="24"/>
          <w:lang w:val="ro-RO"/>
        </w:rPr>
      </w:pPr>
      <w:r>
        <w:rPr>
          <w:rFonts w:eastAsia="Calibri" w:cs="Arial"/>
          <w:szCs w:val="24"/>
          <w:lang w:val="ro-RO"/>
        </w:rPr>
        <w:t xml:space="preserve">- </w:t>
      </w:r>
      <w:r w:rsidR="00BE2DFA" w:rsidRPr="00BE2DFA">
        <w:rPr>
          <w:rFonts w:eastAsia="Calibri" w:cs="Arial"/>
          <w:szCs w:val="24"/>
          <w:lang w:val="ro-RO"/>
        </w:rPr>
        <w:t>Ordonanța de urgență a Guvernului nr. 57/2019 privind Codul administrativ, cu modificările și completările ulterioare;</w:t>
      </w:r>
    </w:p>
    <w:p w14:paraId="73C29801" w14:textId="5A0045B6" w:rsidR="00BE2DFA" w:rsidRPr="00BE2DFA" w:rsidRDefault="00FC3DE2" w:rsidP="00FC3DE2">
      <w:pPr>
        <w:spacing w:after="0"/>
        <w:ind w:left="-567"/>
        <w:rPr>
          <w:rFonts w:eastAsia="Calibri" w:cs="Arial"/>
          <w:szCs w:val="24"/>
          <w:lang w:val="ro-RO"/>
        </w:rPr>
      </w:pPr>
      <w:r>
        <w:rPr>
          <w:rFonts w:eastAsia="Calibri" w:cs="Arial"/>
          <w:szCs w:val="24"/>
          <w:lang w:val="ro-RO"/>
        </w:rPr>
        <w:t xml:space="preserve">- </w:t>
      </w:r>
      <w:r w:rsidR="00BE2DFA" w:rsidRPr="00BE2DFA">
        <w:rPr>
          <w:rFonts w:eastAsia="Calibri" w:cs="Arial"/>
          <w:szCs w:val="24"/>
          <w:lang w:val="ro-RO"/>
        </w:rPr>
        <w:t>Hotărârea Guvernului nr. 90/2010 privind organizarea și funcționarea Ministerului Culturii, cu modificările și completările ulterioare;</w:t>
      </w:r>
    </w:p>
    <w:p w14:paraId="0B4E4BB0" w14:textId="1CF2299D" w:rsidR="00BE2DFA" w:rsidRPr="00BE2DFA" w:rsidRDefault="00FC3DE2" w:rsidP="00FC3DE2">
      <w:pPr>
        <w:spacing w:after="0"/>
        <w:ind w:left="-567"/>
        <w:rPr>
          <w:rFonts w:eastAsia="Calibri" w:cs="Arial"/>
          <w:szCs w:val="24"/>
          <w:lang w:val="ro-RO"/>
        </w:rPr>
      </w:pPr>
      <w:r>
        <w:rPr>
          <w:rFonts w:eastAsia="Calibri" w:cs="Arial"/>
          <w:szCs w:val="24"/>
          <w:lang w:val="ro-RO"/>
        </w:rPr>
        <w:t xml:space="preserve">- </w:t>
      </w:r>
      <w:r w:rsidR="00BE2DFA" w:rsidRPr="00BE2DFA">
        <w:rPr>
          <w:rFonts w:eastAsia="Calibri" w:cs="Arial"/>
          <w:szCs w:val="24"/>
          <w:lang w:val="ro-RO"/>
        </w:rPr>
        <w:t xml:space="preserve">Ordinul ministrului culturii nr. 2811/2014 pentru aprobarea Regulamentului de organizare și funcționare al Teatrului Național „I.L. Caragiale” din București, cu modificările și completările ulterioare. </w:t>
      </w:r>
    </w:p>
    <w:p w14:paraId="680F7D25" w14:textId="77777777" w:rsidR="00BE2DFA" w:rsidRPr="00BE2DFA" w:rsidRDefault="00BE2DFA" w:rsidP="00630A1B">
      <w:pPr>
        <w:numPr>
          <w:ilvl w:val="0"/>
          <w:numId w:val="10"/>
        </w:numPr>
        <w:spacing w:before="120"/>
        <w:ind w:left="-567" w:firstLine="0"/>
        <w:jc w:val="left"/>
        <w:rPr>
          <w:rFonts w:eastAsia="Times New Roman" w:cs="Arial"/>
          <w:b/>
          <w:bCs/>
          <w:i/>
          <w:lang w:val="ro-RO"/>
        </w:rPr>
      </w:pPr>
      <w:r w:rsidRPr="00BE2DFA">
        <w:rPr>
          <w:rFonts w:eastAsia="Times New Roman" w:cs="Arial"/>
          <w:b/>
          <w:bCs/>
          <w:i/>
          <w:lang w:val="ro-RO"/>
        </w:rPr>
        <w:t>Misiune / atribuții / competențe / structura:</w:t>
      </w:r>
    </w:p>
    <w:p w14:paraId="3540D33A"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Teatrul Național „I. L. Caragiale” București are ca obiective principale promovarea valorilor teatrale și cultural-artistice, autohtone și universale, pe plan național și internațional precum și dezvoltarea audienței, creșterea accesului publicului la aceste valori.</w:t>
      </w:r>
    </w:p>
    <w:p w14:paraId="12F4294C" w14:textId="77777777" w:rsidR="00BE2DFA" w:rsidRPr="00BE2DFA" w:rsidRDefault="00BE2DFA" w:rsidP="00630A1B">
      <w:pPr>
        <w:ind w:left="-567"/>
        <w:rPr>
          <w:rFonts w:eastAsia="Times New Roman"/>
          <w:lang w:val="ro-RO" w:eastAsia="x-none"/>
        </w:rPr>
      </w:pPr>
      <w:r w:rsidRPr="00BE2DFA">
        <w:rPr>
          <w:rFonts w:eastAsia="Calibri"/>
          <w:szCs w:val="24"/>
          <w:lang w:val="ro-RO" w:eastAsia="x-none"/>
        </w:rPr>
        <w:t xml:space="preserve">Pentru atingerea acestor obiective, </w:t>
      </w:r>
      <w:r w:rsidRPr="00BE2DFA">
        <w:rPr>
          <w:rFonts w:eastAsia="Times New Roman"/>
          <w:lang w:val="ro-RO" w:eastAsia="x-none"/>
        </w:rPr>
        <w:t xml:space="preserve">Teatrul Național „I. L. Caragiale” București desfășoară următoarele </w:t>
      </w:r>
      <w:r w:rsidRPr="00BE2DFA">
        <w:rPr>
          <w:rFonts w:eastAsia="Calibri"/>
          <w:szCs w:val="24"/>
          <w:lang w:val="ro-RO" w:eastAsia="x-none"/>
        </w:rPr>
        <w:t>activități principale,</w:t>
      </w:r>
      <w:r w:rsidRPr="00BE2DFA">
        <w:rPr>
          <w:rFonts w:eastAsia="Times New Roman"/>
          <w:lang w:val="ro-RO" w:eastAsia="x-none"/>
        </w:rPr>
        <w:t xml:space="preserve"> potrivit art. 2 alin. (2) din H.G. nr. 803/2005 și dezvoltate în art. 5 alin. (2) din OMC nr. 2811/2014:</w:t>
      </w:r>
    </w:p>
    <w:p w14:paraId="3BE0F830"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a) organizează și susține spectacole de teatru proprii sau în coproducție, cofinanțare și/sau în colaborare cu autorități și instituții publice ori cu persoane fizice și juridice de drept privat, din țară si/sau din străinătate;</w:t>
      </w:r>
    </w:p>
    <w:p w14:paraId="409E3064"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b) organizează și susține turnee și participări la festivaluri de teatru, în țară și/sau în străinătate, singur sau în coproducție, cofinanțare și/sau colaborare cu autorități și instituții publice ori cu persoane fizice și juridice de drept privat, din țară și/sau din străinătate;</w:t>
      </w:r>
    </w:p>
    <w:p w14:paraId="0FB335D6"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c) promovează piese și texte de teatru reprezentative pentru dramaturgia românească și universală, clasică și contemporană;</w:t>
      </w:r>
    </w:p>
    <w:p w14:paraId="69250D7C"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d) pune în valoare talentul creatorilor din domeniul artelor interpretative, al regiei și scenografiei, precum și din celelalte domenii specifice spectacolului contemporan;</w:t>
      </w:r>
    </w:p>
    <w:p w14:paraId="4D833778"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e) sprijină debutul și afirmarea tinerilor artiști;</w:t>
      </w:r>
    </w:p>
    <w:p w14:paraId="3DF3E63D"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f) realizează, dezvoltă sau găzduiește proiecte teatrale naționale și internaționale, precum și proiecte în domenii conexe artei teatrale, singur sau în parteneriat cu artiști, organizații neguvernamentale, instituții de spectacole, alte instituții de cultură din țară și din străinătate;</w:t>
      </w:r>
    </w:p>
    <w:p w14:paraId="50D47E5D"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g) realizează, în parteneriat cu instituțiile de învățământ universitar din domeniul teatrului, programe de susținere și prezentare a unor producții teatrale ale studenților din ultimul an de studiu - licență sau masterat;</w:t>
      </w:r>
    </w:p>
    <w:p w14:paraId="03008537" w14:textId="77777777" w:rsidR="00BE2DFA" w:rsidRPr="00BE2DFA" w:rsidRDefault="00BE2DFA" w:rsidP="00630A1B">
      <w:pPr>
        <w:ind w:left="-567"/>
        <w:rPr>
          <w:rFonts w:eastAsia="Times New Roman"/>
          <w:lang w:val="ro-RO" w:eastAsia="x-none"/>
        </w:rPr>
      </w:pPr>
      <w:r w:rsidRPr="00BE2DFA">
        <w:rPr>
          <w:rFonts w:eastAsia="Times New Roman"/>
          <w:lang w:val="ro-RO" w:eastAsia="x-none"/>
        </w:rPr>
        <w:lastRenderedPageBreak/>
        <w:t>h) realizează, în parteneriat cu instituții de învățământ preuniversitar, programe de educare prin și pentru teatru, ateliere de formare, cursuri de actorie pentru tineri, precum și spectacole pentru copii;</w:t>
      </w:r>
    </w:p>
    <w:p w14:paraId="460330C6"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i) organizează, singur sau în parteneriat ori găzduiește expoziții documentare, de artă plastică și arte vizuale, evenimente muzicale;</w:t>
      </w:r>
    </w:p>
    <w:p w14:paraId="0372F2B4"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k) desfășoară, prin Centrul de Cercetare și Creație Teatrală "Ion Sava", Galeriile, Muzeul și Biblioteca Teatrului, activități educaționale specifice, de informare și documentare sau pentru educarea prin teatru a tinerilor;</w:t>
      </w:r>
    </w:p>
    <w:p w14:paraId="6BD5948B"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I) realizează, singur sau în parteneriat cu instituții de învățământ, precum și cu alte instituții de profil, cursuri și ateliere de formare și perfecționare în activități și meserii specifice artei teatrale;</w:t>
      </w:r>
    </w:p>
    <w:p w14:paraId="7BB07853"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m) organizează Conferințele Teatrului Național;</w:t>
      </w:r>
    </w:p>
    <w:p w14:paraId="3C0514A5"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n) organizează tururi ghidate pentru prezentarea și cunoașterea Teatrului și activităților acestuia, în condițiile legii;</w:t>
      </w:r>
    </w:p>
    <w:p w14:paraId="29F5C799"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o) realizează și editează publicații specifice pe orice tip de suport, pe care le poate comercializa, singur sau în parteneriat, în condițiile legii;</w:t>
      </w:r>
    </w:p>
    <w:p w14:paraId="54F70143"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p) realizează/comercializează, singur sau în parteneriat, servicii sau programe media audiovizuale, în condițiile legii;</w:t>
      </w:r>
    </w:p>
    <w:p w14:paraId="22F84886"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r) realizează/comercializează, singur sau în parteneriat, materiale și obiecte promoționale dedicate teatrului, proiectelor și programelor sale, în condițiile legii;</w:t>
      </w:r>
    </w:p>
    <w:p w14:paraId="2A0306B6"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s) desfășoară activități de impresariat, în condițiile legii.</w:t>
      </w:r>
    </w:p>
    <w:p w14:paraId="51253946" w14:textId="77777777" w:rsidR="00BE2DFA" w:rsidRPr="00BE2DFA" w:rsidRDefault="00BE2DFA" w:rsidP="00630A1B">
      <w:pPr>
        <w:ind w:left="-567"/>
        <w:rPr>
          <w:rFonts w:eastAsia="Calibri"/>
          <w:szCs w:val="24"/>
          <w:lang w:val="ro-RO" w:eastAsia="x-none"/>
        </w:rPr>
      </w:pPr>
      <w:r w:rsidRPr="00BE2DFA">
        <w:rPr>
          <w:rFonts w:eastAsia="Calibri"/>
          <w:szCs w:val="24"/>
          <w:lang w:val="ro-RO" w:eastAsia="x-none"/>
        </w:rPr>
        <w:t xml:space="preserve">Teatrul </w:t>
      </w:r>
      <w:r w:rsidRPr="00BE2DFA">
        <w:rPr>
          <w:rFonts w:eastAsia="Times New Roman"/>
          <w:lang w:val="ro-RO" w:eastAsia="x-none"/>
        </w:rPr>
        <w:t xml:space="preserve">Național „I. L. Caragiale” București </w:t>
      </w:r>
      <w:r w:rsidRPr="00BE2DFA">
        <w:rPr>
          <w:rFonts w:eastAsia="Calibri"/>
          <w:szCs w:val="24"/>
          <w:lang w:val="ro-RO" w:eastAsia="x-none"/>
        </w:rPr>
        <w:t xml:space="preserve">este instituție de repertoriu, finanțată din venituri proprii și din subvenții acordate de la bugetul de stat, prin minister, precum și din alte surse prevăzute de lege. </w:t>
      </w:r>
    </w:p>
    <w:p w14:paraId="1C13255F" w14:textId="77777777" w:rsidR="00BE2DFA" w:rsidRPr="00BE2DFA" w:rsidRDefault="00BE2DFA" w:rsidP="00630A1B">
      <w:pPr>
        <w:ind w:left="-567"/>
        <w:rPr>
          <w:rFonts w:eastAsia="Times New Roman"/>
          <w:lang w:val="ro-RO" w:eastAsia="x-none"/>
        </w:rPr>
      </w:pPr>
      <w:r w:rsidRPr="00BE2DFA">
        <w:rPr>
          <w:rFonts w:eastAsia="Times New Roman"/>
          <w:lang w:val="ro-RO" w:eastAsia="x-none"/>
        </w:rPr>
        <w:t xml:space="preserve">Instituția este condusă de un manager desemnat prin ordin al ministrului culturii, potrivit legii, în urma concursului de planuri de management, pe baza contractului de management încheiat cu Ministerul Culturii. Potrivit art. 14 alin. (2) din OMC nr. 2811/2014, activitatea managerului este sprijinită de directorul general adjunct, directori, contabilul șef și inginerul șef, numiți prin decizia managerului, în urma concursurilor organizate de către Teatru, în condițiile legii, precum și de către Consiliul Administrativ și Consiliul Artistic. </w:t>
      </w:r>
    </w:p>
    <w:p w14:paraId="258D796B" w14:textId="77777777" w:rsidR="00BE2DFA" w:rsidRPr="00BE2DFA" w:rsidRDefault="00BE2DFA" w:rsidP="00630A1B">
      <w:pPr>
        <w:ind w:left="-567"/>
        <w:rPr>
          <w:rFonts w:eastAsia="Calibri"/>
          <w:szCs w:val="24"/>
          <w:lang w:val="ro-RO" w:eastAsia="x-none"/>
        </w:rPr>
      </w:pPr>
      <w:r w:rsidRPr="00BE2DFA">
        <w:rPr>
          <w:rFonts w:eastAsia="Calibri"/>
          <w:szCs w:val="24"/>
          <w:lang w:val="ro-RO" w:eastAsia="x-none"/>
        </w:rPr>
        <w:t xml:space="preserve">Consiliul Administrativ este un organ de conducere cu rol deliberativ în ceea ce privește măsurile necesare desfășurării activității </w:t>
      </w:r>
      <w:r w:rsidRPr="00BE2DFA">
        <w:rPr>
          <w:rFonts w:eastAsia="Times New Roman"/>
          <w:lang w:val="ro-RO" w:eastAsia="x-none"/>
        </w:rPr>
        <w:t xml:space="preserve">Teatrului Național „I. L. Caragiale” București, pentru realizarea obiectivului acestuia și a prevederilor din contractul de management încheiat de manager cu Ministerul Culturii. </w:t>
      </w:r>
      <w:r w:rsidRPr="00BE2DFA">
        <w:rPr>
          <w:rFonts w:eastAsia="Calibri"/>
          <w:szCs w:val="24"/>
          <w:lang w:val="ro-RO" w:eastAsia="x-none"/>
        </w:rPr>
        <w:t>Consiliul Administrativ se înființează prin decizia managerului, care este și președintele consiliului, și este format din manager, un reprezentant al Ministerului Culturii, directorul general adjunct și directorii Teatrului, consilierul juridic, și delegatul sindicatului reprezentativ.</w:t>
      </w:r>
    </w:p>
    <w:p w14:paraId="3F77B16C" w14:textId="77777777" w:rsidR="00BE2DFA" w:rsidRPr="00BE2DFA" w:rsidRDefault="00BE2DFA" w:rsidP="00630A1B">
      <w:pPr>
        <w:ind w:left="-567"/>
        <w:rPr>
          <w:rFonts w:eastAsia="Calibri"/>
          <w:szCs w:val="24"/>
          <w:lang w:val="ro-RO" w:eastAsia="x-none"/>
        </w:rPr>
      </w:pPr>
      <w:r w:rsidRPr="00BE2DFA">
        <w:rPr>
          <w:rFonts w:eastAsia="Calibri"/>
          <w:szCs w:val="24"/>
          <w:lang w:val="ro-RO" w:eastAsia="x-none"/>
        </w:rPr>
        <w:t xml:space="preserve">Consiliul Artistic este un organ cu rol consultativ în ceea ce privește măsurile referitoare la alcătuirea repertoriului, structura proiectelor și programelor, strategia artistică a Teatrului. Consiliul Artistic se înființează prin decizia managerului, pe o durată egală cu cea a contractului său de management. Din Consiliul Artistic pot face parte 5 personalități culturale din Teatru și din afara lui nominalizate prin decizia de înființare, la propunerea directorului Direcției Artistice, </w:t>
      </w:r>
      <w:r w:rsidRPr="00BE2DFA">
        <w:rPr>
          <w:rFonts w:eastAsia="Calibri"/>
          <w:szCs w:val="24"/>
          <w:lang w:val="ro-RO" w:eastAsia="x-none"/>
        </w:rPr>
        <w:lastRenderedPageBreak/>
        <w:t xml:space="preserve">fiind format dintr-un președinte care este managerul Teatrului și membrii nominalizați prin decizie a managerului Teatrului. </w:t>
      </w:r>
    </w:p>
    <w:p w14:paraId="056AEAA6" w14:textId="77777777" w:rsidR="00BE2DFA" w:rsidRPr="00BE2DFA" w:rsidRDefault="00BE2DFA" w:rsidP="00630A1B">
      <w:pPr>
        <w:numPr>
          <w:ilvl w:val="0"/>
          <w:numId w:val="10"/>
        </w:numPr>
        <w:spacing w:before="120"/>
        <w:ind w:left="-567" w:firstLine="0"/>
        <w:jc w:val="left"/>
        <w:rPr>
          <w:rFonts w:eastAsia="Times New Roman" w:cs="Arial"/>
          <w:b/>
          <w:bCs/>
          <w:i/>
          <w:lang w:val="ro-RO"/>
        </w:rPr>
      </w:pPr>
      <w:r w:rsidRPr="00BE2DFA">
        <w:rPr>
          <w:rFonts w:eastAsia="Times New Roman" w:cs="Arial"/>
          <w:b/>
          <w:bCs/>
          <w:i/>
          <w:lang w:val="ro-RO"/>
        </w:rPr>
        <w:t>Organigrama:</w:t>
      </w:r>
    </w:p>
    <w:p w14:paraId="71B88AB0" w14:textId="77777777" w:rsidR="00BE2DFA" w:rsidRPr="00BE2DFA" w:rsidRDefault="00BE2DFA" w:rsidP="00630A1B">
      <w:pPr>
        <w:ind w:left="-567"/>
        <w:rPr>
          <w:rFonts w:eastAsia="Calibri"/>
          <w:lang w:val="ro-RO"/>
        </w:rPr>
      </w:pPr>
      <w:r w:rsidRPr="00BE2DFA">
        <w:rPr>
          <w:rFonts w:eastAsia="Times New Roman"/>
          <w:lang w:val="ro-RO"/>
        </w:rPr>
        <w:t xml:space="preserve">Potrivit Anexei la Ordinul ministrului culturii nr. 2789/2023, număr maximum de posturi al instituției este de 485, din care 44 sunt posturi de conducere, iar restul de 441 sunt posturi de execuție. Cele 44 de posturi de conducere sunt defalcate după cum urmează: </w:t>
      </w:r>
      <w:r w:rsidRPr="00BE2DFA">
        <w:rPr>
          <w:rFonts w:eastAsia="Calibri"/>
          <w:lang w:val="ro-RO"/>
        </w:rPr>
        <w:t xml:space="preserve">1 post de manager, 1 post de director general adjunct, 5 posturi de director, 1 post de contabil șef, 1 post de inginer șef, 1 post de șef de secție, 10 posturi de șef serviciu, 10 posturi de șef birou și 14 posturi de șef formație. </w:t>
      </w:r>
    </w:p>
    <w:p w14:paraId="4DD9973C" w14:textId="77777777" w:rsidR="00BE2DFA" w:rsidRPr="00BE2DFA" w:rsidRDefault="00BE2DFA" w:rsidP="00630A1B">
      <w:pPr>
        <w:numPr>
          <w:ilvl w:val="0"/>
          <w:numId w:val="10"/>
        </w:numPr>
        <w:spacing w:before="120"/>
        <w:ind w:left="-567" w:firstLine="0"/>
        <w:jc w:val="left"/>
        <w:rPr>
          <w:rFonts w:eastAsia="Times New Roman" w:cs="Arial"/>
          <w:b/>
          <w:bCs/>
          <w:i/>
          <w:lang w:val="ro-RO"/>
        </w:rPr>
      </w:pPr>
      <w:r w:rsidRPr="00BE2DFA">
        <w:rPr>
          <w:rFonts w:eastAsia="Times New Roman" w:cs="Arial"/>
          <w:b/>
          <w:bCs/>
          <w:i/>
          <w:lang w:val="ro-RO"/>
        </w:rPr>
        <w:t xml:space="preserve">Structuri subordonate: </w:t>
      </w:r>
    </w:p>
    <w:p w14:paraId="2F8BCA3D" w14:textId="68227BC3" w:rsidR="00BE2DFA" w:rsidRPr="00BE2DFA" w:rsidRDefault="00BE2DFA" w:rsidP="00630A1B">
      <w:pPr>
        <w:keepNext/>
        <w:keepLines/>
        <w:ind w:left="-567"/>
        <w:outlineLvl w:val="4"/>
        <w:rPr>
          <w:rFonts w:eastAsia="Calibri"/>
          <w:bCs/>
          <w:szCs w:val="24"/>
          <w:lang w:val="ro-RO"/>
        </w:rPr>
      </w:pPr>
      <w:r w:rsidRPr="00BE2DFA">
        <w:rPr>
          <w:rFonts w:eastAsia="Calibri"/>
          <w:bCs/>
          <w:szCs w:val="24"/>
          <w:lang w:val="ro-RO"/>
        </w:rPr>
        <w:t xml:space="preserve">Potrivit art. 3 din Hotărârea Guvernului nr. 803/2005, cu modificările și completările ulterioare, în subordinea instituției funcționează Centrul de Cercetare și Creație Teatrală „Ion Sava”. Acest centru este o unitate fără personalitate juridică condusă de un director numit de Manager a cărui organizare </w:t>
      </w:r>
      <w:proofErr w:type="spellStart"/>
      <w:r w:rsidRPr="00BE2DFA">
        <w:rPr>
          <w:rFonts w:eastAsia="Calibri"/>
          <w:bCs/>
          <w:szCs w:val="24"/>
          <w:lang w:val="ro-RO"/>
        </w:rPr>
        <w:t>şi</w:t>
      </w:r>
      <w:proofErr w:type="spellEnd"/>
      <w:r w:rsidRPr="00BE2DFA">
        <w:rPr>
          <w:rFonts w:eastAsia="Calibri"/>
          <w:bCs/>
          <w:szCs w:val="24"/>
          <w:lang w:val="ro-RO"/>
        </w:rPr>
        <w:t xml:space="preserve"> </w:t>
      </w:r>
      <w:r w:rsidR="005C525B" w:rsidRPr="00BE2DFA">
        <w:rPr>
          <w:rFonts w:eastAsia="Calibri"/>
          <w:bCs/>
          <w:szCs w:val="24"/>
          <w:lang w:val="ro-RO"/>
        </w:rPr>
        <w:t>funcționare</w:t>
      </w:r>
      <w:r w:rsidRPr="00BE2DFA">
        <w:rPr>
          <w:rFonts w:eastAsia="Calibri"/>
          <w:bCs/>
          <w:szCs w:val="24"/>
          <w:lang w:val="ro-RO"/>
        </w:rPr>
        <w:t xml:space="preserve"> se propun de către Teatru </w:t>
      </w:r>
      <w:proofErr w:type="spellStart"/>
      <w:r w:rsidRPr="00BE2DFA">
        <w:rPr>
          <w:rFonts w:eastAsia="Calibri"/>
          <w:bCs/>
          <w:szCs w:val="24"/>
          <w:lang w:val="ro-RO"/>
        </w:rPr>
        <w:t>şi</w:t>
      </w:r>
      <w:proofErr w:type="spellEnd"/>
      <w:r w:rsidRPr="00BE2DFA">
        <w:rPr>
          <w:rFonts w:eastAsia="Calibri"/>
          <w:bCs/>
          <w:szCs w:val="24"/>
          <w:lang w:val="ro-RO"/>
        </w:rPr>
        <w:t xml:space="preserve"> se aprobă prin ordin al ministrului culturii </w:t>
      </w:r>
      <w:proofErr w:type="spellStart"/>
      <w:r w:rsidRPr="00BE2DFA">
        <w:rPr>
          <w:rFonts w:eastAsia="Calibri"/>
          <w:bCs/>
          <w:szCs w:val="24"/>
          <w:lang w:val="ro-RO"/>
        </w:rPr>
        <w:t>şi</w:t>
      </w:r>
      <w:proofErr w:type="spellEnd"/>
      <w:r w:rsidRPr="00BE2DFA">
        <w:rPr>
          <w:rFonts w:eastAsia="Calibri"/>
          <w:bCs/>
          <w:szCs w:val="24"/>
          <w:lang w:val="ro-RO"/>
        </w:rPr>
        <w:t xml:space="preserve"> cultelor, </w:t>
      </w:r>
      <w:r w:rsidRPr="00BE2DFA">
        <w:rPr>
          <w:rFonts w:eastAsia="Calibri"/>
          <w:lang w:val="ro-RO"/>
        </w:rPr>
        <w:t xml:space="preserve">iar organizarea și funcționarea acestuia </w:t>
      </w:r>
      <w:r w:rsidRPr="00BE2DFA">
        <w:rPr>
          <w:rFonts w:eastAsia="Calibri"/>
          <w:bCs/>
          <w:szCs w:val="24"/>
          <w:lang w:val="ro-RO"/>
        </w:rPr>
        <w:t xml:space="preserve">este aprobată prin ordin al ministrului culturii, la propunerea instituției supraordonate. Scopul Centrului este acela de a desfășura un program multianual de cercetare și creație teatrală, cu autorizarea conducerii </w:t>
      </w:r>
      <w:r w:rsidRPr="00BE2DFA">
        <w:rPr>
          <w:rFonts w:eastAsia="Calibri"/>
          <w:lang w:val="ro-RO"/>
        </w:rPr>
        <w:t xml:space="preserve">Teatrului Național „I. L. Caragiale”, cu finanțare asigurată cu prioritate din </w:t>
      </w:r>
      <w:r w:rsidRPr="00BE2DFA">
        <w:rPr>
          <w:rFonts w:eastAsia="Calibri"/>
          <w:bCs/>
          <w:szCs w:val="24"/>
          <w:lang w:val="ro-RO"/>
        </w:rPr>
        <w:t xml:space="preserve">fondurile alocate Teatrului de către Ministerul Culturii. </w:t>
      </w:r>
    </w:p>
    <w:p w14:paraId="74A77169" w14:textId="77777777" w:rsidR="00BE2DFA" w:rsidRPr="00BE2DFA" w:rsidRDefault="00BE2DFA" w:rsidP="00630A1B">
      <w:pPr>
        <w:numPr>
          <w:ilvl w:val="0"/>
          <w:numId w:val="10"/>
        </w:numPr>
        <w:spacing w:before="120"/>
        <w:ind w:left="-567" w:firstLine="0"/>
        <w:jc w:val="left"/>
        <w:rPr>
          <w:rFonts w:eastAsia="Times New Roman" w:cs="Arial"/>
          <w:b/>
          <w:bCs/>
          <w:i/>
          <w:lang w:val="ro-RO"/>
        </w:rPr>
      </w:pPr>
      <w:r w:rsidRPr="00BE2DFA">
        <w:rPr>
          <w:rFonts w:eastAsia="Times New Roman" w:cs="Arial"/>
          <w:b/>
          <w:bCs/>
          <w:i/>
          <w:lang w:val="ro-RO"/>
        </w:rPr>
        <w:t xml:space="preserve">Număr total poziții/funcții prevăzute în statul instituției (inclusiv nr. funcții de conducere ocupate cu titlu permanent): </w:t>
      </w:r>
    </w:p>
    <w:p w14:paraId="56B6C0A7" w14:textId="77777777" w:rsidR="00BE2DFA" w:rsidRPr="00BE2DFA" w:rsidRDefault="00BE2DFA" w:rsidP="00630A1B">
      <w:pPr>
        <w:ind w:left="-567"/>
        <w:rPr>
          <w:rFonts w:eastAsia="Calibri"/>
          <w:szCs w:val="24"/>
          <w:lang w:val="ro-RO"/>
        </w:rPr>
      </w:pPr>
      <w:r w:rsidRPr="00BE2DFA">
        <w:rPr>
          <w:rFonts w:eastAsia="Calibri"/>
          <w:szCs w:val="24"/>
          <w:lang w:val="ro-RO"/>
        </w:rPr>
        <w:t>Potrivit chestionarului tematic de evaluare, completat anterior datei desfășurării vizitei de evaluare, situația posturilor de la nivelul instituției se prezenta după cum urmează:</w:t>
      </w:r>
    </w:p>
    <w:p w14:paraId="3C09BC15"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poziții ocupate (la data de 28.03.2022): 484</w:t>
      </w:r>
    </w:p>
    <w:p w14:paraId="5C813D4E"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poziții vacante (la data de 28.03.2022): 5</w:t>
      </w:r>
    </w:p>
    <w:p w14:paraId="6519C4B5"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funcții de conducere: 44</w:t>
      </w:r>
    </w:p>
    <w:p w14:paraId="289C38C2"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femei în funcții de conducere: 15</w:t>
      </w:r>
    </w:p>
    <w:p w14:paraId="0C3A3EA0"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bărbați în funcții de conducere: 29</w:t>
      </w:r>
    </w:p>
    <w:p w14:paraId="318132ED"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funcții de execuție: 441</w:t>
      </w:r>
    </w:p>
    <w:p w14:paraId="448B8DC8"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femei în funcții de execuție: 206</w:t>
      </w:r>
    </w:p>
    <w:p w14:paraId="38CB09C6" w14:textId="77777777" w:rsidR="00BE2DFA" w:rsidRPr="00BE2DFA" w:rsidRDefault="00BE2DFA" w:rsidP="00630A1B">
      <w:pPr>
        <w:numPr>
          <w:ilvl w:val="1"/>
          <w:numId w:val="9"/>
        </w:numPr>
        <w:tabs>
          <w:tab w:val="left" w:pos="-142"/>
        </w:tabs>
        <w:spacing w:before="120"/>
        <w:ind w:left="-567" w:firstLine="0"/>
        <w:contextualSpacing/>
        <w:jc w:val="left"/>
        <w:rPr>
          <w:rFonts w:eastAsia="Times New Roman"/>
          <w:lang w:val="ro-RO"/>
        </w:rPr>
      </w:pPr>
      <w:r w:rsidRPr="00BE2DFA">
        <w:rPr>
          <w:rFonts w:eastAsia="Times New Roman"/>
          <w:lang w:val="ro-RO"/>
        </w:rPr>
        <w:t>Nr. bărbați în funcții de execuție: 236</w:t>
      </w:r>
    </w:p>
    <w:p w14:paraId="6042BBC8" w14:textId="77777777" w:rsidR="00BE2DFA" w:rsidRPr="00BE2DFA" w:rsidRDefault="00BE2DFA" w:rsidP="00630A1B">
      <w:pPr>
        <w:tabs>
          <w:tab w:val="left" w:pos="1134"/>
        </w:tabs>
        <w:ind w:left="-567"/>
        <w:contextualSpacing/>
        <w:rPr>
          <w:rFonts w:eastAsia="Times New Roman"/>
          <w:lang w:val="ro-RO"/>
        </w:rPr>
      </w:pPr>
      <w:r w:rsidRPr="00BE2DFA">
        <w:rPr>
          <w:rFonts w:eastAsia="Times New Roman"/>
          <w:lang w:val="ro-RO"/>
        </w:rPr>
        <w:t>În anul 2022, numărul posturilor aprobate prin Statul de funcții era de 484, din care 353 funcții de specialitate (Anexa nr. III din Legea nr. 153/2017 privind salarizarea personalului plătit din fonduri publice): personal artistic, consultant artistic, scenograf personal tehnic scenă și 131 funcții comune sau administrative (Anexa VIII din Legea nr. 153/2017</w:t>
      </w:r>
      <w:r w:rsidRPr="00BE2DFA">
        <w:rPr>
          <w:rFonts w:eastAsia="Calibri"/>
          <w:szCs w:val="24"/>
          <w:lang w:val="ro-RO"/>
        </w:rPr>
        <w:t xml:space="preserve"> </w:t>
      </w:r>
      <w:r w:rsidRPr="00BE2DFA">
        <w:rPr>
          <w:rFonts w:eastAsia="Times New Roman"/>
          <w:lang w:val="ro-RO"/>
        </w:rPr>
        <w:t>privind salarizarea personalului plătit din fonduri publice).</w:t>
      </w:r>
    </w:p>
    <w:p w14:paraId="7B2AD31A" w14:textId="77777777" w:rsidR="00BE2DFA" w:rsidRPr="00BE2DFA" w:rsidRDefault="00BE2DFA" w:rsidP="00630A1B">
      <w:pPr>
        <w:ind w:left="-567"/>
        <w:rPr>
          <w:rFonts w:eastAsia="Calibri"/>
          <w:szCs w:val="24"/>
          <w:lang w:val="ro-RO"/>
        </w:rPr>
      </w:pPr>
      <w:r w:rsidRPr="00BE2DFA">
        <w:rPr>
          <w:rFonts w:eastAsia="Calibri"/>
          <w:szCs w:val="24"/>
          <w:lang w:val="ro-RO"/>
        </w:rPr>
        <w:t xml:space="preserve">Cu ocazia vizitei de evaluare, au fost solicitate informații raportate la perioada de evaluare, respectiv anul 2022. Astfel, la data de 31.12.2022, numărul de posturi ocupate era de 484, iar numărul de posturi vacante era de 5. Personalul din cadrul instituției este format exclusiv din personal contractual. </w:t>
      </w:r>
    </w:p>
    <w:p w14:paraId="34F1786B" w14:textId="77777777" w:rsidR="00BE2DFA" w:rsidRPr="00BE2DFA" w:rsidRDefault="00BE2DFA" w:rsidP="00630A1B">
      <w:pPr>
        <w:numPr>
          <w:ilvl w:val="0"/>
          <w:numId w:val="10"/>
        </w:numPr>
        <w:spacing w:before="120"/>
        <w:ind w:left="-567" w:firstLine="0"/>
        <w:jc w:val="left"/>
        <w:rPr>
          <w:rFonts w:eastAsia="Times New Roman" w:cs="Arial"/>
          <w:b/>
          <w:bCs/>
          <w:i/>
          <w:lang w:val="ro-RO"/>
        </w:rPr>
      </w:pPr>
      <w:r w:rsidRPr="00BE2DFA">
        <w:rPr>
          <w:rFonts w:eastAsia="Times New Roman" w:cs="Arial"/>
          <w:b/>
          <w:bCs/>
          <w:i/>
          <w:lang w:val="ro-RO"/>
        </w:rPr>
        <w:t>Resursele alocate pentru cele 3 standarde supuse evaluării:</w:t>
      </w:r>
    </w:p>
    <w:p w14:paraId="2EA570F9" w14:textId="77777777" w:rsidR="00BE2DFA" w:rsidRPr="00BE2DFA" w:rsidRDefault="00BE2DFA" w:rsidP="00630A1B">
      <w:pPr>
        <w:numPr>
          <w:ilvl w:val="1"/>
          <w:numId w:val="16"/>
        </w:numPr>
        <w:spacing w:before="120"/>
        <w:ind w:left="-567" w:firstLine="0"/>
        <w:rPr>
          <w:rFonts w:eastAsia="Times New Roman"/>
          <w:b/>
          <w:bCs/>
          <w:lang w:val="ro-RO" w:eastAsia="x-none"/>
        </w:rPr>
      </w:pPr>
      <w:r w:rsidRPr="00BE2DFA">
        <w:rPr>
          <w:rFonts w:eastAsia="Times New Roman"/>
          <w:b/>
          <w:bCs/>
          <w:lang w:val="ro-RO" w:eastAsia="x-none"/>
        </w:rPr>
        <w:t>resurse financiare (cu evidențierea distinctă pe cele alocate pentru pregătirea profesională:</w:t>
      </w:r>
    </w:p>
    <w:p w14:paraId="1BEBBA9B" w14:textId="77777777" w:rsidR="00BE2DFA" w:rsidRPr="00BE2DFA" w:rsidRDefault="00BE2DFA" w:rsidP="00630A1B">
      <w:pPr>
        <w:ind w:left="-567"/>
        <w:rPr>
          <w:rFonts w:eastAsia="Times New Roman"/>
          <w:bCs/>
          <w:lang w:val="ro-RO" w:eastAsia="x-none"/>
        </w:rPr>
      </w:pPr>
      <w:r w:rsidRPr="00BE2DFA">
        <w:rPr>
          <w:rFonts w:eastAsia="Times New Roman"/>
          <w:bCs/>
          <w:lang w:val="ro-RO" w:eastAsia="x-none"/>
        </w:rPr>
        <w:lastRenderedPageBreak/>
        <w:t xml:space="preserve">Nu au fost alocate resurse financiare cu destinație distinctă pentru implementarea standardelor supuse evaluării. </w:t>
      </w:r>
    </w:p>
    <w:p w14:paraId="3D627DFD" w14:textId="77777777" w:rsidR="00BE2DFA" w:rsidRPr="00BE2DFA" w:rsidRDefault="00BE2DFA" w:rsidP="00630A1B">
      <w:pPr>
        <w:numPr>
          <w:ilvl w:val="1"/>
          <w:numId w:val="16"/>
        </w:numPr>
        <w:spacing w:before="120"/>
        <w:ind w:left="-567" w:firstLine="0"/>
        <w:rPr>
          <w:rFonts w:eastAsia="Times New Roman"/>
          <w:b/>
          <w:bCs/>
          <w:lang w:val="ro-RO" w:eastAsia="x-none"/>
        </w:rPr>
      </w:pPr>
      <w:r w:rsidRPr="00BE2DFA">
        <w:rPr>
          <w:rFonts w:eastAsia="Times New Roman"/>
          <w:b/>
          <w:bCs/>
          <w:lang w:val="ro-RO" w:eastAsia="x-none"/>
        </w:rPr>
        <w:t xml:space="preserve">resurse umane: </w:t>
      </w:r>
    </w:p>
    <w:p w14:paraId="068816CD" w14:textId="77777777" w:rsidR="00BE2DFA" w:rsidRPr="00BE2DFA" w:rsidRDefault="00BE2DFA" w:rsidP="00630A1B">
      <w:pPr>
        <w:ind w:left="-567"/>
        <w:rPr>
          <w:rFonts w:eastAsia="Times New Roman"/>
          <w:bCs/>
          <w:lang w:val="ro-RO" w:eastAsia="x-none"/>
        </w:rPr>
      </w:pPr>
      <w:r w:rsidRPr="00BE2DFA">
        <w:rPr>
          <w:rFonts w:eastAsia="Times New Roman"/>
          <w:bCs/>
          <w:lang w:val="ro-RO" w:eastAsia="x-none"/>
        </w:rPr>
        <w:t xml:space="preserve">În vederea implementării standardelor supuse evaluării, la nivelul Teatrului Național „I.L. Caragiale” există o persoană care realizează activitățile specifice referitoare la standardele cuprinse în Strategia Națională Anticorupție, mai precis a celor care fac obiectul evaluării și inserate în chestionarul de evaluare, însă această persoană nu a fost desemnată în mod formal prin decizii ale conducerii instituției. </w:t>
      </w:r>
    </w:p>
    <w:p w14:paraId="2DDF5951" w14:textId="77777777" w:rsidR="00BE2DFA" w:rsidRPr="00BE2DFA" w:rsidRDefault="00BE2DFA" w:rsidP="00630A1B">
      <w:pPr>
        <w:numPr>
          <w:ilvl w:val="1"/>
          <w:numId w:val="16"/>
        </w:numPr>
        <w:spacing w:before="120"/>
        <w:ind w:left="-567" w:firstLine="0"/>
        <w:rPr>
          <w:rFonts w:eastAsia="Times New Roman"/>
          <w:b/>
          <w:bCs/>
          <w:lang w:val="ro-RO" w:eastAsia="x-none"/>
        </w:rPr>
      </w:pPr>
      <w:r w:rsidRPr="00BE2DFA">
        <w:rPr>
          <w:rFonts w:eastAsia="Times New Roman"/>
          <w:b/>
          <w:bCs/>
          <w:lang w:val="ro-RO" w:eastAsia="x-none"/>
        </w:rPr>
        <w:t xml:space="preserve">resurse materiale (calculatoare, spațiu pentru desfășurarea activității, acces la internet etc.): </w:t>
      </w:r>
    </w:p>
    <w:p w14:paraId="6C723DA8" w14:textId="77777777" w:rsidR="00BE2DFA" w:rsidRPr="00BE2DFA" w:rsidRDefault="00BE2DFA" w:rsidP="00630A1B">
      <w:pPr>
        <w:ind w:left="-567"/>
        <w:rPr>
          <w:rFonts w:eastAsia="Times New Roman"/>
          <w:bCs/>
          <w:lang w:val="ro-RO" w:eastAsia="x-none"/>
        </w:rPr>
      </w:pPr>
      <w:r w:rsidRPr="00BE2DFA">
        <w:rPr>
          <w:rFonts w:eastAsia="Times New Roman"/>
          <w:lang w:val="ro-RO" w:eastAsia="x-none"/>
        </w:rPr>
        <w:t xml:space="preserve">Sunt utilizate resursele materiale existente pentru desfășurarea activității, conform funcției deținute. </w:t>
      </w:r>
      <w:r w:rsidRPr="00BE2DFA">
        <w:rPr>
          <w:rFonts w:eastAsia="Times New Roman"/>
          <w:bCs/>
          <w:lang w:val="ro-RO" w:eastAsia="x-none"/>
        </w:rPr>
        <w:t>La nivelul instituției evaluate, în cursul anului de referință, a fost încheiat un contrat de prestări servicii prin care a fost achiziționat un abonament la o platformă de e-</w:t>
      </w:r>
      <w:proofErr w:type="spellStart"/>
      <w:r w:rsidRPr="00BE2DFA">
        <w:rPr>
          <w:rFonts w:eastAsia="Times New Roman"/>
          <w:bCs/>
          <w:lang w:val="ro-RO" w:eastAsia="x-none"/>
        </w:rPr>
        <w:t>learning</w:t>
      </w:r>
      <w:proofErr w:type="spellEnd"/>
      <w:r w:rsidRPr="00BE2DFA">
        <w:rPr>
          <w:rFonts w:eastAsia="Times New Roman"/>
          <w:bCs/>
          <w:lang w:val="ro-RO" w:eastAsia="x-none"/>
        </w:rPr>
        <w:t xml:space="preserve">. </w:t>
      </w:r>
    </w:p>
    <w:p w14:paraId="216B9869" w14:textId="77777777" w:rsidR="00BE2DFA" w:rsidRPr="00BE2DFA" w:rsidRDefault="00BE2DFA" w:rsidP="00630A1B">
      <w:pPr>
        <w:numPr>
          <w:ilvl w:val="0"/>
          <w:numId w:val="10"/>
        </w:numPr>
        <w:spacing w:before="120"/>
        <w:ind w:left="-567" w:firstLine="0"/>
        <w:jc w:val="left"/>
        <w:rPr>
          <w:rFonts w:eastAsia="Times New Roman" w:cs="Arial"/>
          <w:b/>
          <w:bCs/>
          <w:i/>
          <w:lang w:val="ro-RO"/>
        </w:rPr>
      </w:pPr>
      <w:r w:rsidRPr="00BE2DFA">
        <w:rPr>
          <w:rFonts w:eastAsia="Times New Roman" w:cs="Arial"/>
          <w:b/>
          <w:bCs/>
          <w:i/>
          <w:lang w:val="ro-RO"/>
        </w:rPr>
        <w:t>Scopul misiunii de evaluare</w:t>
      </w:r>
    </w:p>
    <w:p w14:paraId="37C2AF1D" w14:textId="77777777" w:rsidR="00BE2DFA" w:rsidRPr="00BE2DFA" w:rsidRDefault="00BE2DFA" w:rsidP="005C525B">
      <w:pPr>
        <w:spacing w:before="100" w:beforeAutospacing="1" w:after="0"/>
        <w:ind w:left="-567"/>
        <w:rPr>
          <w:rFonts w:eastAsia="Calibri"/>
          <w:szCs w:val="24"/>
          <w:lang w:val="ro-RO"/>
        </w:rPr>
      </w:pPr>
      <w:r w:rsidRPr="00BE2DFA">
        <w:rPr>
          <w:rFonts w:eastAsia="Calibri"/>
          <w:szCs w:val="24"/>
          <w:lang w:val="ro-RO"/>
        </w:rPr>
        <w:t xml:space="preserve">Prin Hotărârea Guvernului nr. 1269/2021 au fost aprobate </w:t>
      </w:r>
      <w:r w:rsidRPr="00BE2DFA">
        <w:rPr>
          <w:rFonts w:eastAsia="Calibri"/>
          <w:i/>
          <w:szCs w:val="24"/>
          <w:lang w:val="ro-RO"/>
        </w:rPr>
        <w:t>Strategia Națională Anticorupție (SNA) 2021-2025</w:t>
      </w:r>
      <w:r w:rsidRPr="00BE2DFA">
        <w:rPr>
          <w:rFonts w:eastAsia="Calibri"/>
          <w:szCs w:val="24"/>
          <w:lang w:val="ro-RO"/>
        </w:rPr>
        <w:t xml:space="preserve"> și documentele aferente acesteia.</w:t>
      </w:r>
    </w:p>
    <w:p w14:paraId="42C4C380" w14:textId="77777777" w:rsidR="00BE2DFA" w:rsidRDefault="00BE2DFA" w:rsidP="005C525B">
      <w:pPr>
        <w:spacing w:after="0"/>
        <w:ind w:left="-567"/>
        <w:contextualSpacing/>
        <w:rPr>
          <w:rFonts w:eastAsia="Calibri"/>
          <w:szCs w:val="24"/>
          <w:lang w:val="ro-RO"/>
        </w:rPr>
      </w:pPr>
      <w:r w:rsidRPr="00BE2DFA">
        <w:rPr>
          <w:rFonts w:eastAsia="Calibri"/>
          <w:szCs w:val="24"/>
          <w:lang w:val="ro-RO"/>
        </w:rPr>
        <w:t xml:space="preserve">Potrivit art. 11 și 12 din </w:t>
      </w:r>
      <w:r w:rsidRPr="00BE2DFA">
        <w:rPr>
          <w:rFonts w:eastAsia="Calibri"/>
          <w:i/>
          <w:iCs/>
          <w:szCs w:val="24"/>
          <w:lang w:val="ro-RO"/>
        </w:rPr>
        <w:t>Metodologia de monitorizare a implementării SNA 2021-2025</w:t>
      </w:r>
      <w:r w:rsidRPr="00BE2DFA">
        <w:rPr>
          <w:rFonts w:eastAsia="Calibri"/>
          <w:szCs w:val="24"/>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7A4A4EDE" w14:textId="77777777" w:rsidR="005C525B" w:rsidRPr="00BE2DFA" w:rsidRDefault="005C525B" w:rsidP="005C525B">
      <w:pPr>
        <w:spacing w:after="0"/>
        <w:ind w:left="-567"/>
        <w:contextualSpacing/>
        <w:rPr>
          <w:rFonts w:eastAsia="Calibri"/>
          <w:szCs w:val="24"/>
          <w:lang w:val="ro-RO"/>
        </w:rPr>
      </w:pPr>
    </w:p>
    <w:p w14:paraId="118CE8C8" w14:textId="77777777" w:rsidR="00BE2DFA" w:rsidRPr="00BE2DFA" w:rsidRDefault="00BE2DFA" w:rsidP="005C525B">
      <w:pPr>
        <w:spacing w:after="0"/>
        <w:ind w:left="-567"/>
        <w:contextualSpacing/>
        <w:rPr>
          <w:rFonts w:eastAsia="Calibri"/>
          <w:szCs w:val="24"/>
          <w:lang w:val="ro-RO"/>
        </w:rPr>
      </w:pPr>
      <w:r w:rsidRPr="00BE2DFA">
        <w:rPr>
          <w:rFonts w:eastAsia="Calibri"/>
          <w:szCs w:val="24"/>
          <w:lang w:val="ro-RO"/>
        </w:rPr>
        <w:t xml:space="preserve">Temele care fac obiectul misiunilor de evaluare tematică în anul 2023 sunt: </w:t>
      </w:r>
    </w:p>
    <w:p w14:paraId="65CB0DFB" w14:textId="77777777" w:rsidR="00BE2DFA" w:rsidRPr="00BE2DFA" w:rsidRDefault="00BE2DFA" w:rsidP="00077157">
      <w:pPr>
        <w:numPr>
          <w:ilvl w:val="1"/>
          <w:numId w:val="3"/>
        </w:numPr>
        <w:tabs>
          <w:tab w:val="left" w:pos="0"/>
        </w:tabs>
        <w:spacing w:after="0"/>
        <w:ind w:left="-567" w:firstLine="0"/>
        <w:contextualSpacing/>
        <w:rPr>
          <w:rFonts w:eastAsia="Calibri"/>
          <w:szCs w:val="24"/>
          <w:lang w:val="ro-RO"/>
        </w:rPr>
      </w:pPr>
      <w:r w:rsidRPr="00BE2DFA">
        <w:rPr>
          <w:rFonts w:eastAsia="Calibri"/>
          <w:szCs w:val="24"/>
          <w:lang w:val="ro-RO"/>
        </w:rPr>
        <w:t xml:space="preserve">evaluarea riscurilor de corupție în cadrul autorităților și instituțiilor publice centrale și locale; </w:t>
      </w:r>
    </w:p>
    <w:p w14:paraId="39E44168" w14:textId="77777777" w:rsidR="00BE2DFA" w:rsidRPr="00BE2DFA" w:rsidRDefault="00BE2DFA" w:rsidP="00077157">
      <w:pPr>
        <w:numPr>
          <w:ilvl w:val="1"/>
          <w:numId w:val="3"/>
        </w:numPr>
        <w:tabs>
          <w:tab w:val="left" w:pos="0"/>
        </w:tabs>
        <w:spacing w:after="0"/>
        <w:ind w:left="-567" w:firstLine="0"/>
        <w:contextualSpacing/>
        <w:rPr>
          <w:rFonts w:eastAsia="Calibri"/>
          <w:szCs w:val="24"/>
          <w:lang w:val="ro-RO"/>
        </w:rPr>
      </w:pPr>
      <w:r w:rsidRPr="00BE2DFA">
        <w:rPr>
          <w:rFonts w:eastAsia="Calibri"/>
          <w:szCs w:val="24"/>
          <w:lang w:val="ro-RO"/>
        </w:rPr>
        <w:t>evaluarea incidentelor de integritate în cadrul autorităților și instituțiilor publice centrale și locale;</w:t>
      </w:r>
    </w:p>
    <w:p w14:paraId="04AE09DA" w14:textId="77777777" w:rsidR="00BE2DFA" w:rsidRPr="00BE2DFA" w:rsidRDefault="00BE2DFA" w:rsidP="00077157">
      <w:pPr>
        <w:numPr>
          <w:ilvl w:val="1"/>
          <w:numId w:val="3"/>
        </w:numPr>
        <w:tabs>
          <w:tab w:val="left" w:pos="0"/>
        </w:tabs>
        <w:spacing w:after="0"/>
        <w:ind w:left="-567" w:firstLine="0"/>
        <w:contextualSpacing/>
        <w:rPr>
          <w:rFonts w:eastAsia="Calibri"/>
          <w:szCs w:val="24"/>
          <w:lang w:val="ro-RO"/>
        </w:rPr>
      </w:pPr>
      <w:r w:rsidRPr="00BE2DFA">
        <w:rPr>
          <w:rFonts w:eastAsia="Calibri"/>
          <w:szCs w:val="24"/>
          <w:lang w:val="ro-RO"/>
        </w:rPr>
        <w:t>gestionarea mecanismului de implementare a SNA de către instituțiile publice (inclusiv întreprinderi publice).</w:t>
      </w:r>
    </w:p>
    <w:p w14:paraId="23BCA638" w14:textId="77777777" w:rsidR="00BE2DFA" w:rsidRPr="00BE2DFA" w:rsidRDefault="00BE2DFA" w:rsidP="00077157">
      <w:pPr>
        <w:tabs>
          <w:tab w:val="left" w:pos="0"/>
        </w:tabs>
        <w:spacing w:after="0"/>
        <w:ind w:left="-567"/>
        <w:contextualSpacing/>
        <w:rPr>
          <w:rFonts w:eastAsia="Calibri"/>
          <w:szCs w:val="24"/>
          <w:lang w:val="ro-RO"/>
        </w:rPr>
      </w:pPr>
      <w:r w:rsidRPr="00BE2DFA">
        <w:rPr>
          <w:rFonts w:eastAsia="Calibri"/>
          <w:szCs w:val="24"/>
          <w:lang w:val="ro-RO"/>
        </w:rPr>
        <w:t>Obiectivele procesului de monitorizare sunt:</w:t>
      </w:r>
    </w:p>
    <w:p w14:paraId="17418AC3" w14:textId="77777777" w:rsidR="00BE2DFA" w:rsidRPr="00BE2DFA" w:rsidRDefault="00BE2DFA" w:rsidP="00077157">
      <w:pPr>
        <w:numPr>
          <w:ilvl w:val="0"/>
          <w:numId w:val="2"/>
        </w:numPr>
        <w:tabs>
          <w:tab w:val="left" w:pos="0"/>
        </w:tabs>
        <w:spacing w:before="100" w:beforeAutospacing="1" w:after="0"/>
        <w:ind w:left="-567" w:firstLine="0"/>
        <w:contextualSpacing/>
        <w:rPr>
          <w:lang w:val="ro-RO"/>
        </w:rPr>
      </w:pPr>
      <w:r w:rsidRPr="00BE2DFA">
        <w:rPr>
          <w:lang w:val="ro-RO"/>
        </w:rPr>
        <w:t>Identificarea progreselor înregistrate în implementarea SNA;</w:t>
      </w:r>
    </w:p>
    <w:p w14:paraId="48751B34" w14:textId="77777777" w:rsidR="00BE2DFA" w:rsidRPr="00BE2DFA" w:rsidRDefault="00BE2DFA" w:rsidP="00077157">
      <w:pPr>
        <w:numPr>
          <w:ilvl w:val="0"/>
          <w:numId w:val="2"/>
        </w:numPr>
        <w:tabs>
          <w:tab w:val="left" w:pos="0"/>
        </w:tabs>
        <w:spacing w:before="100" w:beforeAutospacing="1" w:after="0"/>
        <w:ind w:left="-567" w:firstLine="0"/>
        <w:contextualSpacing/>
        <w:rPr>
          <w:lang w:val="ro-RO"/>
        </w:rPr>
      </w:pPr>
      <w:r w:rsidRPr="00BE2DFA">
        <w:rPr>
          <w:lang w:val="ro-RO"/>
        </w:rPr>
        <w:t>Identificarea și corectarea problemelor practice apărute în aplicarea politicilor și normelor anticorupție;</w:t>
      </w:r>
    </w:p>
    <w:p w14:paraId="4FA174DA" w14:textId="77777777" w:rsidR="00BE2DFA" w:rsidRPr="00BE2DFA" w:rsidRDefault="00BE2DFA" w:rsidP="00077157">
      <w:pPr>
        <w:numPr>
          <w:ilvl w:val="0"/>
          <w:numId w:val="2"/>
        </w:numPr>
        <w:tabs>
          <w:tab w:val="left" w:pos="0"/>
        </w:tabs>
        <w:spacing w:before="100" w:beforeAutospacing="1" w:after="0"/>
        <w:ind w:left="-567" w:firstLine="0"/>
        <w:contextualSpacing/>
        <w:rPr>
          <w:lang w:val="ro-RO"/>
        </w:rPr>
      </w:pPr>
      <w:r w:rsidRPr="00BE2DFA">
        <w:rPr>
          <w:lang w:val="ro-RO"/>
        </w:rPr>
        <w:t>Creșterea gradului de cunoaștere, înțelegere și implementare a măsurilor de prevenire a corupției, în sectorul public și privat.</w:t>
      </w:r>
    </w:p>
    <w:p w14:paraId="000CBCAB" w14:textId="77777777" w:rsidR="00BE2DFA" w:rsidRPr="00BE2DFA" w:rsidRDefault="00BE2DFA" w:rsidP="005C525B">
      <w:pPr>
        <w:spacing w:before="100" w:beforeAutospacing="1" w:after="0"/>
        <w:ind w:left="-567"/>
        <w:rPr>
          <w:rFonts w:eastAsia="Times New Roman"/>
          <w:lang w:val="ro-RO"/>
        </w:rPr>
      </w:pPr>
      <w:r w:rsidRPr="00BE2DFA">
        <w:rPr>
          <w:rFonts w:eastAsia="Times New Roman"/>
          <w:lang w:val="ro-RO"/>
        </w:rPr>
        <w:t xml:space="preserve">Procedura evaluării a constat în completarea chestionarului tematic de evaluare transmis la data de 5 aprilie 2023, organizarea vizitei de evaluare la sediul Teatrului Național „I.L Caragiale” București în data de 20 aprilie 2023 și redactarea raportului de evaluare. </w:t>
      </w:r>
    </w:p>
    <w:p w14:paraId="03AEAE10" w14:textId="77777777" w:rsidR="00BE2DFA" w:rsidRPr="00BE2DFA" w:rsidRDefault="00BE2DFA" w:rsidP="00630A1B">
      <w:pPr>
        <w:ind w:left="-567"/>
        <w:rPr>
          <w:rFonts w:eastAsia="Calibri"/>
          <w:szCs w:val="24"/>
          <w:lang w:val="ro-RO"/>
        </w:rPr>
      </w:pPr>
    </w:p>
    <w:p w14:paraId="5F58494B" w14:textId="77777777" w:rsidR="00BE2DFA" w:rsidRPr="00BE2DFA" w:rsidRDefault="00BE2DFA" w:rsidP="0052637D">
      <w:pPr>
        <w:spacing w:before="120"/>
        <w:ind w:left="-567"/>
        <w:jc w:val="left"/>
        <w:rPr>
          <w:rFonts w:eastAsia="Times New Roman" w:cs="Arial"/>
          <w:b/>
          <w:bCs/>
          <w:i/>
          <w:lang w:val="ro-RO"/>
        </w:rPr>
      </w:pPr>
      <w:r w:rsidRPr="00BE2DFA">
        <w:rPr>
          <w:rFonts w:eastAsia="Times New Roman" w:cs="Arial"/>
          <w:b/>
          <w:bCs/>
          <w:i/>
          <w:lang w:val="ro-RO"/>
        </w:rPr>
        <w:t>Componența echipei de evaluare</w:t>
      </w:r>
      <w:r w:rsidRPr="00BE2DFA">
        <w:rPr>
          <w:rFonts w:eastAsia="Times New Roman" w:cs="Arial"/>
          <w:b/>
          <w:bCs/>
          <w:lang w:val="ro-RO"/>
        </w:rPr>
        <w:t>:</w:t>
      </w:r>
    </w:p>
    <w:p w14:paraId="5900B38E" w14:textId="77777777" w:rsidR="00BE2DFA" w:rsidRPr="00BE2DFA" w:rsidRDefault="00BE2DFA" w:rsidP="00B07DE7">
      <w:pPr>
        <w:spacing w:after="0"/>
        <w:ind w:left="-567"/>
        <w:rPr>
          <w:rFonts w:eastAsia="Times New Roman" w:cs="Arial"/>
          <w:b/>
          <w:bCs/>
          <w:szCs w:val="24"/>
          <w:lang w:val="ro-RO"/>
        </w:rPr>
      </w:pPr>
      <w:r w:rsidRPr="00BE2DFA">
        <w:rPr>
          <w:rFonts w:eastAsia="Times New Roman" w:cs="Arial"/>
          <w:b/>
          <w:bCs/>
          <w:szCs w:val="24"/>
          <w:lang w:val="ro-RO"/>
        </w:rPr>
        <w:t>Echipa de evaluare a fost compusă din:</w:t>
      </w:r>
    </w:p>
    <w:p w14:paraId="0AF53923" w14:textId="77777777" w:rsidR="00BE2DFA" w:rsidRPr="00BE2DFA" w:rsidRDefault="00BE2DFA" w:rsidP="00B07DE7">
      <w:pPr>
        <w:numPr>
          <w:ilvl w:val="0"/>
          <w:numId w:val="1"/>
        </w:numPr>
        <w:tabs>
          <w:tab w:val="left" w:pos="284"/>
        </w:tabs>
        <w:spacing w:after="0"/>
        <w:ind w:left="-567" w:firstLine="0"/>
        <w:rPr>
          <w:rFonts w:eastAsia="Calibri"/>
          <w:b/>
          <w:bCs/>
          <w:szCs w:val="24"/>
          <w:lang w:val="ro-RO"/>
        </w:rPr>
      </w:pPr>
      <w:r w:rsidRPr="00BE2DFA">
        <w:rPr>
          <w:rFonts w:eastAsia="Calibri"/>
          <w:szCs w:val="24"/>
          <w:lang w:val="ro-RO"/>
        </w:rPr>
        <w:t xml:space="preserve">D-na. </w:t>
      </w:r>
      <w:r w:rsidRPr="005C525B">
        <w:rPr>
          <w:rFonts w:eastAsia="Calibri"/>
          <w:szCs w:val="24"/>
          <w:lang w:val="ro-RO"/>
        </w:rPr>
        <w:t xml:space="preserve">Georgiana </w:t>
      </w:r>
      <w:proofErr w:type="spellStart"/>
      <w:r w:rsidRPr="005C525B">
        <w:rPr>
          <w:rFonts w:eastAsia="Calibri"/>
          <w:szCs w:val="24"/>
          <w:lang w:val="ro-RO"/>
        </w:rPr>
        <w:t>Asoltanei</w:t>
      </w:r>
      <w:proofErr w:type="spellEnd"/>
      <w:r w:rsidRPr="005C525B">
        <w:rPr>
          <w:rFonts w:eastAsia="Calibri"/>
          <w:szCs w:val="24"/>
          <w:lang w:val="ro-RO"/>
        </w:rPr>
        <w:t xml:space="preserve"> – Direcția Generală Anticorupție, expert evaluator din cadrul platformei </w:t>
      </w:r>
      <w:bookmarkStart w:id="1" w:name="_Hlk150178922"/>
      <w:r w:rsidRPr="005C525B">
        <w:rPr>
          <w:rFonts w:eastAsia="Calibri"/>
          <w:szCs w:val="24"/>
          <w:lang w:val="ro-RO"/>
        </w:rPr>
        <w:t>autorităților independente</w:t>
      </w:r>
      <w:r w:rsidRPr="00BE2DFA">
        <w:rPr>
          <w:rFonts w:eastAsia="Calibri"/>
          <w:bCs/>
          <w:szCs w:val="24"/>
          <w:lang w:val="ro-RO"/>
        </w:rPr>
        <w:t xml:space="preserve"> și a instituțiilor anticorupție</w:t>
      </w:r>
      <w:bookmarkEnd w:id="1"/>
      <w:r w:rsidRPr="00BE2DFA">
        <w:rPr>
          <w:rFonts w:eastAsia="Calibri"/>
          <w:szCs w:val="24"/>
          <w:lang w:val="ro-RO"/>
        </w:rPr>
        <w:t>;</w:t>
      </w:r>
      <w:r w:rsidRPr="00BE2DFA">
        <w:rPr>
          <w:rFonts w:eastAsia="Calibri"/>
          <w:b/>
          <w:bCs/>
          <w:szCs w:val="24"/>
          <w:lang w:val="ro-RO"/>
        </w:rPr>
        <w:t xml:space="preserve"> </w:t>
      </w:r>
    </w:p>
    <w:p w14:paraId="7C9DB26D" w14:textId="77777777" w:rsidR="00BE2DFA" w:rsidRPr="005C525B" w:rsidRDefault="00BE2DFA" w:rsidP="00B07DE7">
      <w:pPr>
        <w:numPr>
          <w:ilvl w:val="0"/>
          <w:numId w:val="1"/>
        </w:numPr>
        <w:tabs>
          <w:tab w:val="left" w:pos="284"/>
        </w:tabs>
        <w:spacing w:after="0"/>
        <w:ind w:left="-567" w:firstLine="0"/>
        <w:rPr>
          <w:rFonts w:eastAsia="Calibri"/>
          <w:bCs/>
          <w:szCs w:val="24"/>
          <w:lang w:val="ro-RO"/>
        </w:rPr>
      </w:pPr>
      <w:r w:rsidRPr="005C525B">
        <w:rPr>
          <w:rFonts w:eastAsia="Calibri"/>
          <w:bCs/>
          <w:szCs w:val="24"/>
          <w:lang w:val="ro-RO"/>
        </w:rPr>
        <w:lastRenderedPageBreak/>
        <w:t>D-na. Anamaria Ramona Rusu – expert evaluator din partea platformei mediului de afaceri, reprezentant al Asociației Române a Băncilor, Comisia Antifraudă;</w:t>
      </w:r>
    </w:p>
    <w:p w14:paraId="48D30113" w14:textId="77777777" w:rsidR="00BE2DFA" w:rsidRPr="005C525B" w:rsidRDefault="00BE2DFA" w:rsidP="00B07DE7">
      <w:pPr>
        <w:numPr>
          <w:ilvl w:val="0"/>
          <w:numId w:val="1"/>
        </w:numPr>
        <w:tabs>
          <w:tab w:val="left" w:pos="284"/>
        </w:tabs>
        <w:spacing w:after="0"/>
        <w:ind w:left="-567" w:firstLine="0"/>
        <w:rPr>
          <w:rFonts w:eastAsia="Calibri"/>
          <w:bCs/>
          <w:szCs w:val="24"/>
          <w:lang w:val="ro-RO"/>
        </w:rPr>
      </w:pPr>
      <w:r w:rsidRPr="005C525B">
        <w:rPr>
          <w:rFonts w:eastAsia="Calibri"/>
          <w:bCs/>
          <w:szCs w:val="24"/>
          <w:lang w:val="ro-RO"/>
        </w:rPr>
        <w:t xml:space="preserve">D-na. Patricia Berianu  – </w:t>
      </w:r>
      <w:proofErr w:type="spellStart"/>
      <w:r w:rsidRPr="005C525B">
        <w:rPr>
          <w:rFonts w:eastAsia="Calibri"/>
          <w:bCs/>
          <w:szCs w:val="24"/>
          <w:lang w:val="ro-RO"/>
        </w:rPr>
        <w:t>Transparency</w:t>
      </w:r>
      <w:proofErr w:type="spellEnd"/>
      <w:r w:rsidRPr="005C525B">
        <w:rPr>
          <w:rFonts w:eastAsia="Calibri"/>
          <w:bCs/>
          <w:szCs w:val="24"/>
          <w:lang w:val="ro-RO"/>
        </w:rPr>
        <w:t xml:space="preserve"> International Romania, expert evaluator din partea platformei societății civile;</w:t>
      </w:r>
    </w:p>
    <w:p w14:paraId="61DD0AF2" w14:textId="4D734839" w:rsidR="00BE2DFA" w:rsidRDefault="00BE2DFA" w:rsidP="00B07DE7">
      <w:pPr>
        <w:numPr>
          <w:ilvl w:val="0"/>
          <w:numId w:val="1"/>
        </w:numPr>
        <w:tabs>
          <w:tab w:val="left" w:pos="284"/>
        </w:tabs>
        <w:spacing w:after="0"/>
        <w:ind w:left="-567" w:firstLine="0"/>
        <w:rPr>
          <w:rFonts w:eastAsia="Calibri"/>
          <w:szCs w:val="24"/>
          <w:lang w:val="ro-RO"/>
        </w:rPr>
      </w:pPr>
      <w:r w:rsidRPr="005C525B">
        <w:rPr>
          <w:rFonts w:eastAsia="Calibri"/>
          <w:bCs/>
          <w:szCs w:val="24"/>
          <w:lang w:val="ro-RO"/>
        </w:rPr>
        <w:t xml:space="preserve">Dl. Dragoș Enrico Dediu, </w:t>
      </w:r>
      <w:bookmarkStart w:id="2" w:name="_Hlk24387165"/>
      <w:r w:rsidRPr="005C525B">
        <w:rPr>
          <w:rFonts w:eastAsia="Calibri"/>
          <w:bCs/>
          <w:szCs w:val="24"/>
          <w:lang w:val="ro-RO"/>
        </w:rPr>
        <w:t>personal de specialitate juridică asimilat judecătorilor și procurorilor</w:t>
      </w:r>
      <w:bookmarkEnd w:id="2"/>
      <w:r w:rsidRPr="005C525B">
        <w:rPr>
          <w:rFonts w:eastAsia="Calibri"/>
          <w:bCs/>
          <w:szCs w:val="24"/>
          <w:lang w:val="ro-RO"/>
        </w:rPr>
        <w:t>, Ministerul Justiției, expert</w:t>
      </w:r>
      <w:r w:rsidRPr="00BE2DFA">
        <w:rPr>
          <w:rFonts w:eastAsia="Calibri"/>
          <w:szCs w:val="24"/>
          <w:lang w:val="ro-RO"/>
        </w:rPr>
        <w:t xml:space="preserve"> evaluator din partea platformei administrației publice centrale.</w:t>
      </w:r>
    </w:p>
    <w:p w14:paraId="77F9C5F8" w14:textId="77777777" w:rsidR="00BE2DFA" w:rsidRPr="00BE2DFA" w:rsidRDefault="00BE2DFA" w:rsidP="00B07DE7">
      <w:pPr>
        <w:spacing w:after="0"/>
        <w:ind w:left="-567"/>
        <w:rPr>
          <w:rFonts w:eastAsia="Calibri" w:cs="Tahoma"/>
          <w:b/>
          <w:bCs/>
          <w:szCs w:val="24"/>
          <w:shd w:val="clear" w:color="auto" w:fill="FFFFFF"/>
          <w:lang w:val="ro-RO"/>
        </w:rPr>
      </w:pPr>
      <w:r w:rsidRPr="00BE2DFA">
        <w:rPr>
          <w:rFonts w:eastAsia="Times New Roman" w:cs="Arial"/>
          <w:b/>
          <w:bCs/>
          <w:szCs w:val="24"/>
          <w:lang w:val="ro-RO"/>
        </w:rPr>
        <w:t>Reprezentanții Teatrului Național „I.L Caragiale” București care au luat parte la întâlnire au fost:</w:t>
      </w:r>
      <w:r w:rsidRPr="00BE2DFA">
        <w:rPr>
          <w:rFonts w:eastAsia="Calibri" w:cs="Tahoma"/>
          <w:b/>
          <w:bCs/>
          <w:szCs w:val="24"/>
          <w:shd w:val="clear" w:color="auto" w:fill="FFFFFF"/>
          <w:lang w:val="ro-RO"/>
        </w:rPr>
        <w:t xml:space="preserve"> </w:t>
      </w:r>
    </w:p>
    <w:p w14:paraId="442CB60D" w14:textId="1B5FAEF1" w:rsidR="00BE2DFA" w:rsidRPr="005C525B" w:rsidRDefault="00BE2DFA" w:rsidP="00B07DE7">
      <w:pPr>
        <w:numPr>
          <w:ilvl w:val="0"/>
          <w:numId w:val="1"/>
        </w:numPr>
        <w:tabs>
          <w:tab w:val="left" w:pos="284"/>
        </w:tabs>
        <w:spacing w:after="0"/>
        <w:ind w:left="-567" w:firstLine="0"/>
        <w:rPr>
          <w:rFonts w:eastAsia="Calibri"/>
          <w:szCs w:val="24"/>
          <w:lang w:val="ro-RO"/>
        </w:rPr>
      </w:pPr>
      <w:r w:rsidRPr="005C525B">
        <w:rPr>
          <w:rFonts w:eastAsia="Calibri"/>
          <w:szCs w:val="24"/>
          <w:lang w:val="ro-RO"/>
        </w:rPr>
        <w:t xml:space="preserve">Manager interimar; </w:t>
      </w:r>
    </w:p>
    <w:p w14:paraId="0250ED6A" w14:textId="5865CE03" w:rsidR="00BE2DFA" w:rsidRPr="005C525B" w:rsidRDefault="0052637D" w:rsidP="00B07DE7">
      <w:pPr>
        <w:numPr>
          <w:ilvl w:val="0"/>
          <w:numId w:val="1"/>
        </w:numPr>
        <w:tabs>
          <w:tab w:val="left" w:pos="284"/>
        </w:tabs>
        <w:spacing w:after="0"/>
        <w:ind w:left="-567" w:firstLine="0"/>
        <w:rPr>
          <w:rFonts w:eastAsia="Calibri"/>
          <w:szCs w:val="24"/>
          <w:lang w:val="ro-RO"/>
        </w:rPr>
      </w:pPr>
      <w:r>
        <w:rPr>
          <w:rFonts w:eastAsia="Calibri"/>
          <w:szCs w:val="24"/>
          <w:lang w:val="ro-RO"/>
        </w:rPr>
        <w:t>Ș</w:t>
      </w:r>
      <w:r w:rsidR="00BE2DFA" w:rsidRPr="005C525B">
        <w:rPr>
          <w:rFonts w:eastAsia="Calibri"/>
          <w:szCs w:val="24"/>
          <w:lang w:val="ro-RO"/>
        </w:rPr>
        <w:t>ef Birou Juridic;</w:t>
      </w:r>
    </w:p>
    <w:p w14:paraId="75B0A311" w14:textId="6436163D" w:rsidR="00BE2DFA" w:rsidRPr="005C525B" w:rsidRDefault="0052637D" w:rsidP="00B07DE7">
      <w:pPr>
        <w:numPr>
          <w:ilvl w:val="0"/>
          <w:numId w:val="1"/>
        </w:numPr>
        <w:tabs>
          <w:tab w:val="left" w:pos="284"/>
        </w:tabs>
        <w:spacing w:after="0"/>
        <w:ind w:left="-567" w:firstLine="0"/>
        <w:rPr>
          <w:rFonts w:eastAsia="Calibri"/>
          <w:szCs w:val="24"/>
          <w:lang w:val="ro-RO"/>
        </w:rPr>
      </w:pPr>
      <w:r>
        <w:rPr>
          <w:rFonts w:eastAsia="Calibri"/>
          <w:szCs w:val="24"/>
          <w:lang w:val="ro-RO"/>
        </w:rPr>
        <w:t>Ș</w:t>
      </w:r>
      <w:r w:rsidR="00BE2DFA" w:rsidRPr="005C525B">
        <w:rPr>
          <w:rFonts w:eastAsia="Calibri"/>
          <w:szCs w:val="24"/>
          <w:lang w:val="ro-RO"/>
        </w:rPr>
        <w:t xml:space="preserve">ef Serviciu Resurse Umane Salarizare; </w:t>
      </w:r>
    </w:p>
    <w:p w14:paraId="146CBFC9" w14:textId="078721B0" w:rsidR="00BE2DFA" w:rsidRPr="005C525B" w:rsidRDefault="0052637D" w:rsidP="00B07DE7">
      <w:pPr>
        <w:numPr>
          <w:ilvl w:val="0"/>
          <w:numId w:val="1"/>
        </w:numPr>
        <w:tabs>
          <w:tab w:val="left" w:pos="284"/>
        </w:tabs>
        <w:spacing w:after="0"/>
        <w:ind w:left="-567" w:firstLine="0"/>
        <w:rPr>
          <w:rFonts w:eastAsia="Calibri"/>
          <w:szCs w:val="24"/>
          <w:lang w:val="ro-RO"/>
        </w:rPr>
      </w:pPr>
      <w:r>
        <w:rPr>
          <w:rFonts w:eastAsia="Calibri"/>
          <w:szCs w:val="24"/>
          <w:lang w:val="ro-RO"/>
        </w:rPr>
        <w:t>A</w:t>
      </w:r>
      <w:r w:rsidR="00BE2DFA" w:rsidRPr="005C525B">
        <w:rPr>
          <w:rFonts w:eastAsia="Calibri"/>
          <w:szCs w:val="24"/>
          <w:lang w:val="ro-RO"/>
        </w:rPr>
        <w:t xml:space="preserve">uditor; </w:t>
      </w:r>
    </w:p>
    <w:p w14:paraId="2B064F1F" w14:textId="61AFC329" w:rsidR="00BE2DFA" w:rsidRPr="005C525B" w:rsidRDefault="0052637D" w:rsidP="00B07DE7">
      <w:pPr>
        <w:numPr>
          <w:ilvl w:val="0"/>
          <w:numId w:val="1"/>
        </w:numPr>
        <w:tabs>
          <w:tab w:val="left" w:pos="284"/>
        </w:tabs>
        <w:spacing w:after="0"/>
        <w:ind w:left="-567" w:firstLine="0"/>
        <w:rPr>
          <w:rFonts w:eastAsia="Calibri"/>
          <w:szCs w:val="24"/>
          <w:lang w:val="ro-RO"/>
        </w:rPr>
      </w:pPr>
      <w:r>
        <w:rPr>
          <w:rFonts w:eastAsia="Calibri"/>
          <w:szCs w:val="24"/>
          <w:lang w:val="ro-RO"/>
        </w:rPr>
        <w:t>R</w:t>
      </w:r>
      <w:r w:rsidR="00BE2DFA" w:rsidRPr="005C525B">
        <w:rPr>
          <w:rFonts w:eastAsia="Calibri"/>
          <w:szCs w:val="24"/>
          <w:lang w:val="ro-RO"/>
        </w:rPr>
        <w:t xml:space="preserve">eferent de Specialitate din cadrul Biroul IT, Adresare Publică; </w:t>
      </w:r>
    </w:p>
    <w:p w14:paraId="2C162E95" w14:textId="2AEB7C44" w:rsidR="00BE2DFA" w:rsidRPr="00BE2DFA" w:rsidRDefault="0052637D" w:rsidP="00B07DE7">
      <w:pPr>
        <w:numPr>
          <w:ilvl w:val="0"/>
          <w:numId w:val="1"/>
        </w:numPr>
        <w:tabs>
          <w:tab w:val="left" w:pos="284"/>
        </w:tabs>
        <w:spacing w:after="0"/>
        <w:ind w:left="-567" w:firstLine="0"/>
        <w:rPr>
          <w:rFonts w:eastAsia="Calibri"/>
          <w:szCs w:val="24"/>
          <w:lang w:val="ro-RO"/>
        </w:rPr>
      </w:pPr>
      <w:r>
        <w:rPr>
          <w:rFonts w:eastAsia="Calibri"/>
          <w:szCs w:val="24"/>
          <w:lang w:val="ro-RO"/>
        </w:rPr>
        <w:t>R</w:t>
      </w:r>
      <w:r w:rsidR="00BE2DFA" w:rsidRPr="005C525B">
        <w:rPr>
          <w:rFonts w:eastAsia="Calibri"/>
          <w:szCs w:val="24"/>
          <w:lang w:val="ro-RO"/>
        </w:rPr>
        <w:t>eprezentant</w:t>
      </w:r>
      <w:r w:rsidR="00BE2DFA" w:rsidRPr="00BE2DFA">
        <w:rPr>
          <w:rFonts w:eastAsia="Calibri"/>
          <w:szCs w:val="24"/>
          <w:lang w:val="ro-RO"/>
        </w:rPr>
        <w:t xml:space="preserve"> Ministerul Culturii.</w:t>
      </w:r>
    </w:p>
    <w:p w14:paraId="6A05C731" w14:textId="77777777" w:rsidR="00BE2DFA" w:rsidRPr="00BE2DFA" w:rsidRDefault="00BE2DFA" w:rsidP="00B07DE7">
      <w:pPr>
        <w:spacing w:after="0"/>
        <w:ind w:left="-567"/>
        <w:rPr>
          <w:rFonts w:eastAsia="Calibri" w:cs="Tahoma"/>
          <w:b/>
          <w:bCs/>
          <w:szCs w:val="24"/>
          <w:shd w:val="clear" w:color="auto" w:fill="FFFFFF"/>
          <w:lang w:val="ro-RO"/>
        </w:rPr>
      </w:pPr>
    </w:p>
    <w:p w14:paraId="7AB7A46C" w14:textId="77777777" w:rsidR="00BE2DFA" w:rsidRPr="00BE2DFA" w:rsidRDefault="00BE2DFA" w:rsidP="00B07DE7">
      <w:pPr>
        <w:spacing w:after="0"/>
        <w:ind w:left="-567"/>
        <w:contextualSpacing/>
        <w:rPr>
          <w:rFonts w:cs="Tahoma"/>
          <w:b/>
          <w:bCs/>
          <w:shd w:val="clear" w:color="auto" w:fill="FFFFFF"/>
          <w:lang w:val="ro-RO"/>
        </w:rPr>
      </w:pPr>
      <w:r w:rsidRPr="00BE2DFA">
        <w:rPr>
          <w:rFonts w:eastAsia="Times New Roman" w:cs="Arial"/>
          <w:b/>
          <w:bCs/>
          <w:lang w:val="ro-RO"/>
        </w:rPr>
        <w:t>Din partea Secretariatului tehnic al SNA au participat:</w:t>
      </w:r>
    </w:p>
    <w:p w14:paraId="722BCC93" w14:textId="77777777" w:rsidR="00BE2DFA" w:rsidRPr="00BE2DFA" w:rsidRDefault="00BE2DFA" w:rsidP="00B07DE7">
      <w:pPr>
        <w:numPr>
          <w:ilvl w:val="0"/>
          <w:numId w:val="1"/>
        </w:numPr>
        <w:tabs>
          <w:tab w:val="left" w:pos="284"/>
        </w:tabs>
        <w:spacing w:after="0"/>
        <w:ind w:left="-567" w:firstLine="0"/>
        <w:contextualSpacing/>
        <w:rPr>
          <w:shd w:val="clear" w:color="auto" w:fill="FFFFFF"/>
          <w:lang w:val="ro-RO"/>
        </w:rPr>
      </w:pPr>
      <w:r w:rsidRPr="00BE2DFA">
        <w:rPr>
          <w:rFonts w:eastAsia="Times New Roman" w:cs="Arial"/>
          <w:szCs w:val="24"/>
          <w:lang w:val="ro-RO"/>
        </w:rPr>
        <w:t>D</w:t>
      </w:r>
      <w:r w:rsidRPr="00BE2DFA">
        <w:rPr>
          <w:shd w:val="clear" w:color="auto" w:fill="FFFFFF"/>
          <w:lang w:val="ro-RO"/>
        </w:rPr>
        <w:t>-na. Cristina LIȚĂ, consilier superior, Ministerul Justiției, reprezentant al Secretariatului tehnic al SNA.</w:t>
      </w:r>
    </w:p>
    <w:p w14:paraId="155421A9" w14:textId="77777777" w:rsidR="00BE2DFA" w:rsidRPr="00BE2DFA" w:rsidRDefault="00BE2DFA" w:rsidP="00B07DE7">
      <w:pPr>
        <w:tabs>
          <w:tab w:val="left" w:pos="284"/>
        </w:tabs>
        <w:spacing w:after="0"/>
        <w:ind w:left="-567"/>
        <w:contextualSpacing/>
        <w:rPr>
          <w:shd w:val="clear" w:color="auto" w:fill="FFFFFF"/>
          <w:lang w:val="ro-RO"/>
        </w:rPr>
      </w:pPr>
    </w:p>
    <w:p w14:paraId="17AF0F4A" w14:textId="77777777" w:rsidR="00BE2DFA" w:rsidRPr="00BE2DFA" w:rsidRDefault="00BE2DFA" w:rsidP="00630A1B">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E2DFA">
        <w:rPr>
          <w:rFonts w:eastAsia="Times New Roman" w:cs="Arial"/>
          <w:b/>
          <w:lang w:val="ro-RO"/>
        </w:rPr>
        <w:t>II. CONSTATĂRI</w:t>
      </w:r>
    </w:p>
    <w:p w14:paraId="31EA4A3F" w14:textId="77777777" w:rsidR="00BE2DFA" w:rsidRPr="00BE2DFA" w:rsidRDefault="00BE2DFA" w:rsidP="00630A1B">
      <w:pPr>
        <w:ind w:left="-567"/>
        <w:rPr>
          <w:rFonts w:eastAsia="Times New Roman" w:cs="Arial"/>
          <w:b/>
          <w:bCs/>
          <w:lang w:val="ro-RO"/>
        </w:rPr>
      </w:pPr>
    </w:p>
    <w:p w14:paraId="042F2DDB" w14:textId="77777777" w:rsidR="00BE2DFA" w:rsidRPr="00BE2DFA" w:rsidRDefault="00BE2DFA" w:rsidP="00630A1B">
      <w:pPr>
        <w:ind w:left="-567"/>
        <w:rPr>
          <w:rFonts w:eastAsia="Times New Roman" w:cs="Arial"/>
          <w:b/>
          <w:bCs/>
          <w:lang w:val="ro-RO"/>
        </w:rPr>
      </w:pPr>
      <w:r w:rsidRPr="00BE2DFA">
        <w:rPr>
          <w:rFonts w:eastAsia="Times New Roman" w:cs="Arial"/>
          <w:b/>
          <w:bCs/>
          <w:lang w:val="ro-RO"/>
        </w:rPr>
        <w:t>Aspecte cu caracter general</w:t>
      </w:r>
    </w:p>
    <w:p w14:paraId="20FECB4E" w14:textId="77777777" w:rsidR="00BE2DFA" w:rsidRPr="00BE2DFA" w:rsidRDefault="00BE2DFA" w:rsidP="00630A1B">
      <w:pPr>
        <w:ind w:left="-567"/>
        <w:rPr>
          <w:rFonts w:eastAsia="Times New Roman" w:cs="Arial"/>
          <w:bCs/>
          <w:lang w:val="ro-RO"/>
        </w:rPr>
      </w:pPr>
      <w:r w:rsidRPr="00BE2DFA">
        <w:rPr>
          <w:rFonts w:eastAsia="Times New Roman" w:cs="Arial"/>
          <w:bCs/>
          <w:lang w:val="ro-RO"/>
        </w:rPr>
        <w:t>Teatrul Național „I. L. Caragiale” din București este instituție publică de cultură, de importanță națională, cu personalitate juridică, finanțată din venituri proprii și subvenții acordate de la bugetul de stat, aflată în subordinea Ministerului Culturii. Teatrul își desfășoară activitatea în conformitate cu legislația specifică</w:t>
      </w:r>
      <w:r w:rsidRPr="00BE2DFA">
        <w:rPr>
          <w:rFonts w:eastAsia="Times New Roman" w:cs="Arial"/>
          <w:bCs/>
          <w:vertAlign w:val="superscript"/>
          <w:lang w:val="ro-RO"/>
        </w:rPr>
        <w:footnoteReference w:id="2"/>
      </w:r>
      <w:r w:rsidRPr="00BE2DFA">
        <w:rPr>
          <w:rFonts w:eastAsia="Times New Roman" w:cs="Arial"/>
          <w:bCs/>
          <w:lang w:val="ro-RO"/>
        </w:rPr>
        <w:t xml:space="preserve">, ca instituție de repertoriu și care poate reuni și alte colective artistice, pe durata unui proiect, pentru realizarea de producții sau </w:t>
      </w:r>
      <w:proofErr w:type="spellStart"/>
      <w:r w:rsidRPr="00BE2DFA">
        <w:rPr>
          <w:rFonts w:eastAsia="Times New Roman" w:cs="Arial"/>
          <w:bCs/>
          <w:lang w:val="ro-RO"/>
        </w:rPr>
        <w:t>co</w:t>
      </w:r>
      <w:proofErr w:type="spellEnd"/>
      <w:r w:rsidRPr="00BE2DFA">
        <w:rPr>
          <w:rFonts w:eastAsia="Times New Roman" w:cs="Arial"/>
          <w:bCs/>
          <w:lang w:val="ro-RO"/>
        </w:rPr>
        <w:t xml:space="preserve">-producții artistice prezentate doar în serii determinate. </w:t>
      </w:r>
    </w:p>
    <w:p w14:paraId="69CA3145" w14:textId="77777777" w:rsidR="00BE2DFA" w:rsidRDefault="00BE2DFA" w:rsidP="00630A1B">
      <w:pPr>
        <w:ind w:left="-567"/>
        <w:rPr>
          <w:rFonts w:eastAsia="Times New Roman" w:cs="Arial"/>
          <w:bCs/>
          <w:lang w:val="ro-RO"/>
        </w:rPr>
      </w:pPr>
      <w:r w:rsidRPr="00BE2DFA">
        <w:rPr>
          <w:rFonts w:eastAsia="Times New Roman" w:cs="Arial"/>
          <w:bCs/>
          <w:lang w:val="ro-RO"/>
        </w:rPr>
        <w:t xml:space="preserve">Din această perspectivă, pentru buna funcționare a instituției este esențial să existe un canal de comunicare eficient între angajații din zona administrativă și cei din zona artistică de natură să evite eventuale sincope de relaționare profesională. În egală măsură, aparatul de conducere al instituției de care depinde luarea deciziilor referitoare la angajați (atât administrativ, cât și artistic), gestionarea bugetului și a cheltuielilor, alocarea resurselor necesare în vederea desfășurării spectacolelor, promovarea spectacolelor din fiecare stagiune, viziunea strategică și creșterea vizibilității instituției și a calității spectacolelor trebuie să fie asigurat în mod continuu și eficient. </w:t>
      </w:r>
    </w:p>
    <w:p w14:paraId="0CD11E47" w14:textId="2CC2F401" w:rsidR="00BE2DFA" w:rsidRPr="00BE2DFA" w:rsidRDefault="00BE2DFA" w:rsidP="00630A1B">
      <w:pPr>
        <w:ind w:left="-567"/>
        <w:rPr>
          <w:rFonts w:eastAsia="Times New Roman" w:cs="Arial"/>
          <w:bCs/>
          <w:lang w:val="ro-RO"/>
        </w:rPr>
      </w:pPr>
      <w:r w:rsidRPr="00BE2DFA">
        <w:rPr>
          <w:rFonts w:eastAsia="Times New Roman" w:cs="Arial"/>
          <w:bCs/>
          <w:lang w:val="ro-RO"/>
        </w:rPr>
        <w:t xml:space="preserve">Or, ca urmare a decesului fostului director al Teatrului Național „I. L. Caragiale” București, instituția a cunoscut unele sincope de management deoarece aceasta a fost condusă prin </w:t>
      </w:r>
      <w:r w:rsidRPr="00BE2DFA">
        <w:rPr>
          <w:rFonts w:eastAsia="Times New Roman" w:cs="Arial"/>
          <w:bCs/>
          <w:lang w:val="ro-RO"/>
        </w:rPr>
        <w:lastRenderedPageBreak/>
        <w:t>intermediul unor directori generali interimari în perioada septembrie 2021-prezent, numiți de către ministrul culturii pe durată determinată, ultima numire a directorului general interimar fiind dispusă la data de 12.04.2023 prin Ordinul ministrului culturii nr. 156/2023. Această împrejurare, care pare a fi un interimat continuu este de natură să afecteze nu doar capacitatea unei instituții naționale de cultură de a își desfășura activitățile artistice specifice, ci și coerența actului managerial administrativ al instituției</w:t>
      </w:r>
      <w:r w:rsidRPr="00BE2DFA">
        <w:rPr>
          <w:rFonts w:eastAsia="Calibri"/>
          <w:szCs w:val="24"/>
          <w:lang w:val="ro-RO"/>
        </w:rPr>
        <w:t xml:space="preserve">, </w:t>
      </w:r>
      <w:r w:rsidRPr="00BE2DFA">
        <w:rPr>
          <w:rFonts w:eastAsia="Times New Roman" w:cs="Arial"/>
          <w:bCs/>
          <w:lang w:val="ro-RO"/>
        </w:rPr>
        <w:t>previzibilitatea și gestionarea corespunzătoare a instituției pe termen mediu și lung, buna desfășurare a activității personalului propriu și a muncii acestora.</w:t>
      </w:r>
      <w:r w:rsidR="00E83BA4">
        <w:rPr>
          <w:rFonts w:eastAsia="Times New Roman" w:cs="Arial"/>
          <w:bCs/>
          <w:lang w:val="ro-RO"/>
        </w:rPr>
        <w:t xml:space="preserve"> Însă, p</w:t>
      </w:r>
      <w:r w:rsidR="00E83BA4">
        <w:rPr>
          <w:lang w:val="ro-RO"/>
        </w:rPr>
        <w:t xml:space="preserve">otrivit celor comunicate de reprezentanții TNB, situația interimatului conducerii instituției evaluate nu afectează buna </w:t>
      </w:r>
      <w:r w:rsidR="00E83BA4" w:rsidRPr="007E152A">
        <w:rPr>
          <w:lang w:val="ro-RO"/>
        </w:rPr>
        <w:t xml:space="preserve">desfășurare a activității și eficiența actului managerial, </w:t>
      </w:r>
      <w:r w:rsidR="00E83BA4">
        <w:rPr>
          <w:lang w:val="ro-RO"/>
        </w:rPr>
        <w:t>inclusiv</w:t>
      </w:r>
      <w:r w:rsidR="00E83BA4" w:rsidRPr="007E152A">
        <w:rPr>
          <w:lang w:val="ro-RO"/>
        </w:rPr>
        <w:t xml:space="preserve"> asumarea și implementarea standardelor de integritate</w:t>
      </w:r>
      <w:r w:rsidR="00E83BA4">
        <w:rPr>
          <w:lang w:val="ro-RO"/>
        </w:rPr>
        <w:t>.</w:t>
      </w:r>
    </w:p>
    <w:p w14:paraId="4D834715" w14:textId="6A83A7FC" w:rsidR="00BE2DFA" w:rsidRPr="00BE2DFA" w:rsidRDefault="00E83BA4" w:rsidP="00630A1B">
      <w:pPr>
        <w:ind w:left="-567"/>
        <w:rPr>
          <w:rFonts w:eastAsia="Times New Roman" w:cs="Arial"/>
          <w:bCs/>
          <w:lang w:val="ro-RO"/>
        </w:rPr>
      </w:pPr>
      <w:r>
        <w:rPr>
          <w:rFonts w:eastAsia="Times New Roman" w:cs="Arial"/>
          <w:bCs/>
          <w:lang w:val="ro-RO"/>
        </w:rPr>
        <w:t>Cu toate acestea, în opinia echipei de evaluare, n</w:t>
      </w:r>
      <w:r w:rsidR="00BE2DFA" w:rsidRPr="00BE2DFA">
        <w:rPr>
          <w:rFonts w:eastAsia="Times New Roman" w:cs="Arial"/>
          <w:bCs/>
          <w:lang w:val="ro-RO"/>
        </w:rPr>
        <w:t xml:space="preserve">umirile repetate pe durată determinată în funcția de manager general (în baza legislației specifice), fără organizarea corespunzătoare, potrivit procedurilor în vigoare, a concursurilor de proiecte de management pentru TNB nu fac decât să perpetueze starea generală de incertitudine de la nivelul aparatului administrativ și al conducerii acestuia și să afecteze încrederea publică în modul de gestionare a anumitor situații delicate de leadership și management strategic. Aceasta în condițiile în care, fiind o instituție publică subordonată Ministerului Culturii (instituție politică, parte din aparatul guvernamental al administrației publice centrale), managerul general este numit prin ordin al ministrului culturii în urma promovării concursului de proiecte de management. Concret, în urma decesului fostului director al Teatrului Național „I. L. Caragiale” București, în perioada septembrie 2021 – prezent, au fost numiți 3 manageri interimari, pentru unul dintre aceștia fiind prelungită numirea în această calitate, dar a fost organizat un singur concurs de proiecte de management care a fost ulterior anulat. </w:t>
      </w:r>
    </w:p>
    <w:p w14:paraId="404AE0CC" w14:textId="5B8237A2" w:rsidR="00BE2DFA" w:rsidRDefault="00BE2DFA" w:rsidP="00630A1B">
      <w:pPr>
        <w:ind w:left="-567"/>
        <w:rPr>
          <w:rFonts w:eastAsia="Times New Roman" w:cs="Arial"/>
          <w:bCs/>
          <w:lang w:val="ro-RO"/>
        </w:rPr>
      </w:pPr>
      <w:r w:rsidRPr="00BE2DFA">
        <w:rPr>
          <w:rFonts w:eastAsia="Times New Roman" w:cs="Arial"/>
          <w:bCs/>
          <w:lang w:val="ro-RO"/>
        </w:rPr>
        <w:t xml:space="preserve">O conducere interimară îndelungată afectează capacitatea de a lua decizii administrative pe termen lung care să aibă ca rezultat schimbări concrete, profunde și semnificative în ceea ce privește transparență instituțională, eficiența activităților administrative, dar și asumarea și implementarea reală a standardelor de integritate și anticorupție. </w:t>
      </w:r>
    </w:p>
    <w:p w14:paraId="2D9D2E80" w14:textId="77777777" w:rsidR="00E83BA4" w:rsidRPr="00BE2DFA" w:rsidRDefault="00E83BA4" w:rsidP="00630A1B">
      <w:pPr>
        <w:ind w:left="-567"/>
        <w:rPr>
          <w:rFonts w:eastAsia="Times New Roman" w:cs="Arial"/>
          <w:bCs/>
          <w:lang w:val="ro-RO"/>
        </w:rPr>
      </w:pPr>
    </w:p>
    <w:p w14:paraId="139EC8BB" w14:textId="77777777" w:rsidR="00BE2DFA" w:rsidRPr="00BE2DFA" w:rsidRDefault="00BE2DFA" w:rsidP="00630A1B">
      <w:pPr>
        <w:numPr>
          <w:ilvl w:val="0"/>
          <w:numId w:val="4"/>
        </w:numPr>
        <w:spacing w:before="120"/>
        <w:ind w:left="-567" w:firstLine="0"/>
        <w:rPr>
          <w:rFonts w:eastAsia="Times New Roman" w:cs="Arial"/>
          <w:b/>
          <w:bCs/>
          <w:lang w:val="ro-RO"/>
        </w:rPr>
      </w:pPr>
      <w:r w:rsidRPr="00BE2DFA">
        <w:rPr>
          <w:rFonts w:eastAsia="Times New Roman" w:cs="Arial"/>
          <w:b/>
          <w:bCs/>
          <w:lang w:val="ro-RO"/>
        </w:rPr>
        <w:t xml:space="preserve">EVALUAREA RISCURILOR DE CORUPȚIE ÎN CADRUL AUTORITĂȚILOR ȘI INSTITUȚIILOR PUBLICE CENTRALE ȘI LOCALE </w:t>
      </w:r>
    </w:p>
    <w:p w14:paraId="4D876082" w14:textId="77777777" w:rsidR="00BE2DFA" w:rsidRPr="00BE2DFA" w:rsidRDefault="00BE2DFA" w:rsidP="00630A1B">
      <w:pPr>
        <w:ind w:left="-567"/>
        <w:rPr>
          <w:rFonts w:eastAsia="Times New Roman" w:cs="Arial"/>
          <w:bCs/>
          <w:lang w:val="ro-RO"/>
        </w:rPr>
      </w:pPr>
      <w:r w:rsidRPr="00BE2DFA">
        <w:rPr>
          <w:rFonts w:eastAsia="Times New Roman" w:cs="Arial"/>
          <w:bCs/>
          <w:lang w:val="ro-RO"/>
        </w:rPr>
        <w:t>Cu ocazia vizitei de evaluare tematică, echipa de evaluare a constatat că la nivelul Teatrului Național „I. L. Caragiale” București nu a fost constituit Grupul de lucru pentru implementarea metodologiei standard de evaluare a riscurilor de corupție, conform art. 6 din Metodologia standard de evaluare a riscurilor de corupție în cadrul autorităților și instituțiilor publice centrale, aprobată prin Hotărârea Guvernului nr. 599/2018 (în continuare, H.G. nr. 599/2018) și nici nu a</w:t>
      </w:r>
      <w:r w:rsidRPr="00BE2DFA">
        <w:rPr>
          <w:rFonts w:eastAsia="Calibri"/>
          <w:lang w:val="ro-RO"/>
        </w:rPr>
        <w:t xml:space="preserve"> identificat și descris riscurile de corupție, conform art. 11 din același act normativ.</w:t>
      </w:r>
    </w:p>
    <w:p w14:paraId="5D8E4C5E" w14:textId="77777777" w:rsidR="00BE2DFA" w:rsidRPr="00BE2DFA" w:rsidRDefault="00BE2DFA" w:rsidP="00630A1B">
      <w:pPr>
        <w:ind w:left="-567"/>
        <w:rPr>
          <w:rFonts w:eastAsia="Calibri"/>
          <w:lang w:val="ro-RO"/>
        </w:rPr>
      </w:pPr>
      <w:r w:rsidRPr="00BE2DFA">
        <w:rPr>
          <w:rFonts w:eastAsia="Times New Roman" w:cs="Arial"/>
          <w:bCs/>
          <w:lang w:val="ro-RO"/>
        </w:rPr>
        <w:t xml:space="preserve">Cu toate acestea, echipa de evaluare a constatat că Teatrul Național București a desfășurat activitatea de evaluare a riscurilor identificate și au fost stabilite măsurile de intervenție, conform art. 12 și 16 din Metodologie, fiind elaborat inclusiv </w:t>
      </w:r>
      <w:r w:rsidRPr="00BE2DFA">
        <w:rPr>
          <w:rFonts w:eastAsia="Calibri"/>
          <w:lang w:val="ro-RO"/>
        </w:rPr>
        <w:t xml:space="preserve">Registrul riscurilor de corupție prevăzut la art. 17 din același act normativ. Astfel, evaluarea riscurilor de corupție a fost realizată de către consilierul de etică din cadrul instituției, iar elaborarea Registrului riscurilor de corupție a fost realizată de aceeași persoană în urma consultării șefilor de birou ori de compartimente. </w:t>
      </w:r>
    </w:p>
    <w:p w14:paraId="371496A1" w14:textId="77777777" w:rsidR="00BE2DFA" w:rsidRPr="00BE2DFA" w:rsidRDefault="00BE2DFA" w:rsidP="00630A1B">
      <w:pPr>
        <w:ind w:left="-567"/>
        <w:rPr>
          <w:rFonts w:eastAsia="Calibri"/>
          <w:lang w:val="ro-RO"/>
        </w:rPr>
      </w:pPr>
      <w:r w:rsidRPr="00BE2DFA">
        <w:rPr>
          <w:rFonts w:eastAsia="Calibri"/>
          <w:lang w:val="ro-RO"/>
        </w:rPr>
        <w:t xml:space="preserve">Persoana care a întocmit evaluarea riscurilor de corupție deține funcția de referent de specialitate în cadrul biroului IT și Adresare publică, aceasta îndeplinind și  atribuțiile specifice de consilier </w:t>
      </w:r>
      <w:r w:rsidRPr="00BE2DFA">
        <w:rPr>
          <w:rFonts w:eastAsia="Calibri"/>
          <w:lang w:val="ro-RO"/>
        </w:rPr>
        <w:lastRenderedPageBreak/>
        <w:t>de etică de la data de 13.02.2020 (Decizia nr. 26/2020). În plus, pe lângă atribuțiile specifice funcției pe care o ocupă și celor specifice consilierului de etică, persoana în cauză îndeplinește în fapt și atribuțiile specifice  persoanei responsabile cu implementarea Strategiei Naționale Anticorupție</w:t>
      </w:r>
      <w:r w:rsidRPr="00BE2DFA">
        <w:rPr>
          <w:rFonts w:eastAsia="Calibri"/>
          <w:vertAlign w:val="superscript"/>
          <w:lang w:val="ro-RO"/>
        </w:rPr>
        <w:footnoteReference w:id="3"/>
      </w:r>
      <w:r w:rsidRPr="00BE2DFA">
        <w:rPr>
          <w:rFonts w:eastAsia="Calibri"/>
          <w:lang w:val="ro-RO"/>
        </w:rPr>
        <w:t xml:space="preserve">, fiind și secretarul Comisiei Sistemului de Control Intern Managerial. </w:t>
      </w:r>
    </w:p>
    <w:p w14:paraId="2BE36838" w14:textId="77777777" w:rsidR="00BE2DFA" w:rsidRPr="00BE2DFA" w:rsidRDefault="00BE2DFA" w:rsidP="00630A1B">
      <w:pPr>
        <w:ind w:left="-567"/>
        <w:rPr>
          <w:rFonts w:eastAsia="Calibri"/>
          <w:color w:val="FF0000"/>
          <w:highlight w:val="yellow"/>
          <w:lang w:val="ro-RO"/>
        </w:rPr>
      </w:pPr>
      <w:r w:rsidRPr="00BE2DFA">
        <w:rPr>
          <w:rFonts w:eastAsia="Calibri"/>
          <w:lang w:val="ro-RO"/>
        </w:rPr>
        <w:t>Din discuțiile avute cu reprezentanții instituției evaluate a reieșit faptul că atribuțiile persoanei care îndeplinește toate aceste funcții, suplimentar celei pentru care a fost angajată, nu sunt menționate în mod corespunzător în fișa postului care nu a mai fost actualizată. Practic, referentul de specialitate este însărcinat cu atribuții suplimentare postului de bază care nu au niciun fel de suport legal și scriptic și fișa postului, îndeplinind, prin urmare, aceste atribuții în mod benevol, până la expirarea contractului de muncă ce este încheiat pe durată determinată.</w:t>
      </w:r>
    </w:p>
    <w:p w14:paraId="4E21FBFE" w14:textId="77777777" w:rsidR="00BE2DFA" w:rsidRPr="00BE2DFA" w:rsidRDefault="00BE2DFA" w:rsidP="00630A1B">
      <w:pPr>
        <w:ind w:left="-567"/>
        <w:rPr>
          <w:rFonts w:eastAsia="Times New Roman" w:cs="Arial"/>
          <w:bCs/>
          <w:lang w:val="ro-RO"/>
        </w:rPr>
      </w:pPr>
      <w:r w:rsidRPr="00BE2DFA">
        <w:rPr>
          <w:rFonts w:eastAsia="Calibri"/>
          <w:lang w:val="ro-RO"/>
        </w:rPr>
        <w:t xml:space="preserve">Registrul riscurilor de corupție a fost aprobat la data de 30.06.2022 și cuprinde doar riscuri din sectorul administrativ (ariile majore unde au fost identificate riscuri de corupție fiind activitățile referitoare la resurse umane, salarizare, comunicare, implementarea proiectelor cu fonduri nerambursabile din fonduri europene, IT și achiziții, investiții, patrimoniu și administrativ), nu și riscuri vizând zona artistică a instituției. </w:t>
      </w:r>
    </w:p>
    <w:p w14:paraId="08CD1C57" w14:textId="77777777" w:rsidR="00BE2DFA" w:rsidRPr="00BE2DFA" w:rsidRDefault="00BE2DFA" w:rsidP="00630A1B">
      <w:pPr>
        <w:ind w:left="-567"/>
        <w:rPr>
          <w:rFonts w:eastAsia="Calibri"/>
          <w:lang w:val="ro-RO"/>
        </w:rPr>
      </w:pPr>
      <w:r w:rsidRPr="00BE2DFA">
        <w:rPr>
          <w:rFonts w:eastAsia="Times New Roman" w:cs="Arial"/>
          <w:bCs/>
          <w:lang w:val="ro-RO"/>
        </w:rPr>
        <w:t xml:space="preserve">Fiind aprobat relativ recent și având în vedere că la nivelul instituției nu a fost constituit Grupul de lucru pentru implementarea metodologiei standard de evaluare a riscurilor de corupție, </w:t>
      </w:r>
      <w:r w:rsidRPr="00BE2DFA">
        <w:rPr>
          <w:rFonts w:eastAsia="Calibri"/>
          <w:lang w:val="ro-RO"/>
        </w:rPr>
        <w:t xml:space="preserve">Registrul riscurilor de corupție nu a fost actualizat și nu este utilizat ca instrument de management de către conducerea instituției. </w:t>
      </w:r>
    </w:p>
    <w:p w14:paraId="3FC4D9A5"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Echipa de evaluare a constatat că, deși au fost identificate riscurile de corupție de la nivelul instituției și a fost elaborat inclusiv Registrul riscurilor de corupție, nu a fost elaborată sau revizuită niciuna dintre procedurile de lucru deja existente. Potrivit informațiilor comunicate de reprezentanții instituției evaluate în cadrul vizitei de evaluare, la nivelul Teatrului Național „I. L. Caragiale” București există mai multe proceduri de lucru în vigoare. </w:t>
      </w:r>
    </w:p>
    <w:p w14:paraId="7DDE76F0" w14:textId="77777777" w:rsidR="00BE2DFA" w:rsidRPr="00BE2DFA" w:rsidRDefault="00BE2DFA" w:rsidP="00630A1B">
      <w:pPr>
        <w:ind w:left="-567"/>
        <w:rPr>
          <w:rFonts w:eastAsia="Calibri"/>
          <w:lang w:val="ro-RO"/>
        </w:rPr>
      </w:pPr>
      <w:r w:rsidRPr="00BE2DFA">
        <w:rPr>
          <w:rFonts w:eastAsia="Calibri"/>
          <w:lang w:val="ro-RO"/>
        </w:rPr>
        <w:t>Din materialele trimise suplimentar de minister ulterior vizitei de lucru, a reieșit faptul că instituția dispune de o serie de:</w:t>
      </w:r>
    </w:p>
    <w:p w14:paraId="5A85D9E2" w14:textId="77777777" w:rsidR="00BE2DFA" w:rsidRPr="00BE2DFA" w:rsidRDefault="00BE2DFA" w:rsidP="00630A1B">
      <w:pPr>
        <w:numPr>
          <w:ilvl w:val="0"/>
          <w:numId w:val="12"/>
        </w:numPr>
        <w:tabs>
          <w:tab w:val="left" w:pos="284"/>
        </w:tabs>
        <w:spacing w:before="120"/>
        <w:ind w:left="-567" w:firstLine="0"/>
        <w:rPr>
          <w:rFonts w:eastAsia="Times New Roman" w:cs="Arial"/>
          <w:bCs/>
          <w:lang w:val="ro-RO"/>
        </w:rPr>
      </w:pPr>
      <w:r w:rsidRPr="00BE2DFA">
        <w:rPr>
          <w:rFonts w:eastAsia="Calibri"/>
          <w:lang w:val="ro-RO"/>
        </w:rPr>
        <w:t>proceduri operaționale (PO) privind:</w:t>
      </w:r>
    </w:p>
    <w:p w14:paraId="5C04A750"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Calibri"/>
          <w:lang w:val="ro-RO"/>
        </w:rPr>
        <w:t>desfășurarea misiunii de audit intern ad-hoc;</w:t>
      </w:r>
    </w:p>
    <w:p w14:paraId="39939DB3"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Calibri"/>
          <w:lang w:val="ro-RO"/>
        </w:rPr>
        <w:t>dosarele de personal;</w:t>
      </w:r>
    </w:p>
    <w:p w14:paraId="6F15BC9B"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Calibri"/>
          <w:lang w:val="ro-RO"/>
        </w:rPr>
        <w:t>elaborarea planului anual de audit intern;</w:t>
      </w:r>
    </w:p>
    <w:p w14:paraId="2FF18BAF"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Calibri"/>
          <w:lang w:val="ro-RO"/>
        </w:rPr>
        <w:t>angajarea, lichidarea, ordonarea și plata cheltuielilor;</w:t>
      </w:r>
    </w:p>
    <w:p w14:paraId="60887856"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Calibri"/>
          <w:lang w:val="ro-RO"/>
        </w:rPr>
        <w:t>derularea achizițiilor publice;</w:t>
      </w:r>
    </w:p>
    <w:p w14:paraId="6E7D6B2F"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Calibri"/>
          <w:lang w:val="ro-RO"/>
        </w:rPr>
        <w:t>programul anual de pregătire profesională;</w:t>
      </w:r>
    </w:p>
    <w:p w14:paraId="5C85D226"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Times New Roman" w:cs="Arial"/>
          <w:bCs/>
          <w:lang w:val="ro-RO"/>
        </w:rPr>
        <w:t>stabilirea atribuțiilor angajaților prin întocmirea corectă a fișelor posturilor;</w:t>
      </w:r>
    </w:p>
    <w:p w14:paraId="14DBE130" w14:textId="77777777" w:rsidR="00BE2DFA" w:rsidRPr="00BE2DFA" w:rsidRDefault="00BE2DFA" w:rsidP="005C525B">
      <w:pPr>
        <w:numPr>
          <w:ilvl w:val="0"/>
          <w:numId w:val="13"/>
        </w:numPr>
        <w:spacing w:after="0"/>
        <w:ind w:left="-567" w:firstLine="0"/>
        <w:contextualSpacing/>
        <w:rPr>
          <w:rFonts w:eastAsia="Times New Roman" w:cs="Arial"/>
          <w:bCs/>
          <w:lang w:val="ro-RO"/>
        </w:rPr>
      </w:pPr>
      <w:r w:rsidRPr="00BE2DFA">
        <w:rPr>
          <w:rFonts w:eastAsia="Times New Roman" w:cs="Arial"/>
          <w:bCs/>
          <w:lang w:val="ro-RO"/>
        </w:rPr>
        <w:t>urmărirea stadiului implementării recomandărilor;</w:t>
      </w:r>
    </w:p>
    <w:p w14:paraId="525A98B2" w14:textId="77777777" w:rsidR="00BE2DFA" w:rsidRPr="00BE2DFA" w:rsidRDefault="00BE2DFA" w:rsidP="00630A1B">
      <w:pPr>
        <w:numPr>
          <w:ilvl w:val="0"/>
          <w:numId w:val="12"/>
        </w:numPr>
        <w:tabs>
          <w:tab w:val="left" w:pos="284"/>
        </w:tabs>
        <w:spacing w:before="120"/>
        <w:ind w:left="-567" w:firstLine="0"/>
        <w:rPr>
          <w:rFonts w:eastAsia="Times New Roman" w:cs="Arial"/>
          <w:bCs/>
          <w:lang w:val="ro-RO"/>
        </w:rPr>
      </w:pPr>
      <w:r w:rsidRPr="00BE2DFA">
        <w:rPr>
          <w:rFonts w:eastAsia="Calibri"/>
          <w:lang w:val="ro-RO"/>
        </w:rPr>
        <w:t>proceduri de sistem (PS) privind:</w:t>
      </w:r>
    </w:p>
    <w:p w14:paraId="78A0CF95" w14:textId="77777777" w:rsidR="00BE2DFA" w:rsidRPr="00BE2DFA" w:rsidRDefault="00BE2DFA" w:rsidP="005C525B">
      <w:pPr>
        <w:numPr>
          <w:ilvl w:val="0"/>
          <w:numId w:val="14"/>
        </w:numPr>
        <w:tabs>
          <w:tab w:val="left" w:pos="0"/>
          <w:tab w:val="left" w:pos="851"/>
        </w:tabs>
        <w:spacing w:after="0"/>
        <w:ind w:left="-567" w:firstLine="0"/>
        <w:contextualSpacing/>
        <w:rPr>
          <w:rFonts w:eastAsia="Times New Roman" w:cs="Arial"/>
          <w:bCs/>
          <w:lang w:val="ro-RO"/>
        </w:rPr>
      </w:pPr>
      <w:r w:rsidRPr="00BE2DFA">
        <w:rPr>
          <w:rFonts w:eastAsia="Calibri"/>
          <w:lang w:val="ro-RO"/>
        </w:rPr>
        <w:t>exercitarea controlului financiar preventiv propriu;</w:t>
      </w:r>
    </w:p>
    <w:p w14:paraId="4C488F0C" w14:textId="77777777" w:rsidR="00BE2DFA" w:rsidRPr="00BE2DFA" w:rsidRDefault="00BE2DFA" w:rsidP="005C525B">
      <w:pPr>
        <w:numPr>
          <w:ilvl w:val="0"/>
          <w:numId w:val="14"/>
        </w:numPr>
        <w:tabs>
          <w:tab w:val="left" w:pos="0"/>
          <w:tab w:val="left" w:pos="851"/>
        </w:tabs>
        <w:spacing w:after="0"/>
        <w:ind w:left="-567" w:firstLine="0"/>
        <w:contextualSpacing/>
        <w:rPr>
          <w:rFonts w:eastAsia="Times New Roman" w:cs="Arial"/>
          <w:bCs/>
          <w:lang w:val="ro-RO"/>
        </w:rPr>
      </w:pPr>
      <w:r w:rsidRPr="00BE2DFA">
        <w:rPr>
          <w:rFonts w:eastAsia="Calibri"/>
          <w:lang w:val="ro-RO"/>
        </w:rPr>
        <w:t>protecția persoanelor cu privire la prelucrarea datelor cu caracter personal și libera circulație a acestora la nivelul Teatrului Național „I. L. Caragiale”;</w:t>
      </w:r>
    </w:p>
    <w:p w14:paraId="16A4AC62" w14:textId="7BC5BD16" w:rsidR="00BE2DFA" w:rsidRPr="00BE2DFA" w:rsidRDefault="00BE2DFA" w:rsidP="005C525B">
      <w:pPr>
        <w:numPr>
          <w:ilvl w:val="0"/>
          <w:numId w:val="14"/>
        </w:numPr>
        <w:tabs>
          <w:tab w:val="left" w:pos="0"/>
          <w:tab w:val="left" w:pos="851"/>
        </w:tabs>
        <w:spacing w:after="0"/>
        <w:ind w:left="-567" w:firstLine="0"/>
        <w:contextualSpacing/>
        <w:rPr>
          <w:rFonts w:eastAsia="Times New Roman" w:cs="Arial"/>
          <w:bCs/>
          <w:lang w:val="ro-RO"/>
        </w:rPr>
      </w:pPr>
      <w:r w:rsidRPr="00BE2DFA">
        <w:rPr>
          <w:rFonts w:eastAsia="Times New Roman" w:cs="Arial"/>
          <w:bCs/>
          <w:lang w:val="ro-RO"/>
        </w:rPr>
        <w:lastRenderedPageBreak/>
        <w:t>modul de elaborare al procedurilor documentate, de sistem sau operaționale, după caz, conform prevederilor standardului de control intern managerial</w:t>
      </w:r>
      <w:r w:rsidR="00E83BA4">
        <w:rPr>
          <w:rFonts w:eastAsia="Times New Roman" w:cs="Arial"/>
          <w:bCs/>
          <w:lang w:val="ro-RO"/>
        </w:rPr>
        <w:t>.</w:t>
      </w:r>
    </w:p>
    <w:p w14:paraId="4675EA17" w14:textId="77777777" w:rsidR="00BE2DFA" w:rsidRPr="00BE2DFA" w:rsidRDefault="00BE2DFA" w:rsidP="00630A1B">
      <w:pPr>
        <w:numPr>
          <w:ilvl w:val="0"/>
          <w:numId w:val="12"/>
        </w:numPr>
        <w:tabs>
          <w:tab w:val="left" w:pos="284"/>
        </w:tabs>
        <w:spacing w:before="120"/>
        <w:ind w:left="-567" w:firstLine="0"/>
        <w:rPr>
          <w:rFonts w:eastAsia="Times New Roman" w:cs="Arial"/>
          <w:bCs/>
          <w:lang w:val="ro-RO"/>
        </w:rPr>
      </w:pPr>
      <w:r w:rsidRPr="00BE2DFA">
        <w:rPr>
          <w:rFonts w:eastAsia="Calibri"/>
          <w:lang w:val="ro-RO"/>
        </w:rPr>
        <w:t>procedură proprie (PP) pentru atribuirea contractelor de achiziție publică.</w:t>
      </w:r>
    </w:p>
    <w:p w14:paraId="34A260ED"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Majoritatea acestor proceduri de lucru au fost aprobate în 2020 și se află la prima ediție, fără să fi fost supuse actualizării ori revizuirii. În acest sens, apreciem că este necesară desfășurarea unei evaluări globale a procedurilor interne de lucru existente la nivel instituțional și actualizarea lor, având în vedere că au trecut aproximativ 3 ani de la aprobarea acestora. </w:t>
      </w:r>
    </w:p>
    <w:p w14:paraId="546D4581"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Potrivit chestionarului tematic de evaluare, Registrul riscurilor de corupție nu este corelat cu Registrul reglementat de art. 5 din Ordinul Secretarului General al Guvernului nr. 600/2018, însă din discuțiile purtate de membrii echipei de evaluare și reprezentanții Teatrului Național „I. L. Caragiale” București a rezultat că există această intenție, încercându-se operațiunea de corelare în perioada următoare. </w:t>
      </w:r>
    </w:p>
    <w:p w14:paraId="7F1044CB"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De asemenea, apreciem că este de menționat faptul că Registrul riscurilor de corupție prevede ca măsuri de intervenție pentru prevenirea și controlul riscurilor de corupție: </w:t>
      </w:r>
    </w:p>
    <w:p w14:paraId="2E2C2545" w14:textId="77777777" w:rsidR="00BE2DFA" w:rsidRPr="00BE2DFA" w:rsidRDefault="00BE2DFA" w:rsidP="005C525B">
      <w:pPr>
        <w:numPr>
          <w:ilvl w:val="0"/>
          <w:numId w:val="15"/>
        </w:numPr>
        <w:spacing w:after="0"/>
        <w:ind w:left="-567" w:firstLine="0"/>
        <w:contextualSpacing/>
        <w:rPr>
          <w:rFonts w:eastAsia="Times New Roman" w:cs="Arial"/>
          <w:bCs/>
          <w:lang w:val="ro-RO"/>
        </w:rPr>
      </w:pPr>
      <w:r w:rsidRPr="00BE2DFA">
        <w:rPr>
          <w:rFonts w:eastAsia="Times New Roman" w:cs="Arial"/>
          <w:bCs/>
          <w:lang w:val="ro-RO"/>
        </w:rPr>
        <w:t>elaborarea și implementarea unei proceduri de sistem (PS) privind funcțiile sensibile, conflictul de interese și incompatibilități;</w:t>
      </w:r>
    </w:p>
    <w:p w14:paraId="6E9E95EA" w14:textId="77777777" w:rsidR="00BE2DFA" w:rsidRPr="00BE2DFA" w:rsidRDefault="00BE2DFA" w:rsidP="005C525B">
      <w:pPr>
        <w:numPr>
          <w:ilvl w:val="0"/>
          <w:numId w:val="15"/>
        </w:numPr>
        <w:spacing w:after="0"/>
        <w:ind w:left="-567" w:firstLine="0"/>
        <w:contextualSpacing/>
        <w:rPr>
          <w:rFonts w:eastAsia="Times New Roman" w:cs="Arial"/>
          <w:bCs/>
          <w:lang w:val="ro-RO"/>
        </w:rPr>
      </w:pPr>
      <w:r w:rsidRPr="00BE2DFA">
        <w:rPr>
          <w:rFonts w:eastAsia="Times New Roman" w:cs="Arial"/>
          <w:bCs/>
          <w:lang w:val="ro-RO"/>
        </w:rPr>
        <w:t>elaborarea/actualizarea procedurii privind înregistrarea, primirea și expedierea corespondenței;</w:t>
      </w:r>
    </w:p>
    <w:p w14:paraId="54EA27A5" w14:textId="77777777" w:rsidR="00BE2DFA" w:rsidRPr="00BE2DFA" w:rsidRDefault="00BE2DFA" w:rsidP="005C525B">
      <w:pPr>
        <w:numPr>
          <w:ilvl w:val="0"/>
          <w:numId w:val="15"/>
        </w:numPr>
        <w:spacing w:after="0"/>
        <w:ind w:left="-567" w:firstLine="0"/>
        <w:contextualSpacing/>
        <w:rPr>
          <w:rFonts w:eastAsia="Times New Roman" w:cs="Arial"/>
          <w:bCs/>
          <w:lang w:val="ro-RO"/>
        </w:rPr>
      </w:pPr>
      <w:r w:rsidRPr="00BE2DFA">
        <w:rPr>
          <w:rFonts w:eastAsia="Times New Roman" w:cs="Arial"/>
          <w:bCs/>
          <w:lang w:val="ro-RO"/>
        </w:rPr>
        <w:t>elaborarea unei proceduri referitoare la activitățile și acțiunile de comunicare internă și externă;</w:t>
      </w:r>
    </w:p>
    <w:p w14:paraId="35FFC5AD" w14:textId="77777777" w:rsidR="00BE2DFA" w:rsidRPr="00BE2DFA" w:rsidRDefault="00BE2DFA" w:rsidP="005C525B">
      <w:pPr>
        <w:numPr>
          <w:ilvl w:val="0"/>
          <w:numId w:val="15"/>
        </w:numPr>
        <w:spacing w:after="0"/>
        <w:ind w:left="-567" w:firstLine="0"/>
        <w:contextualSpacing/>
        <w:rPr>
          <w:rFonts w:eastAsia="Times New Roman" w:cs="Arial"/>
          <w:bCs/>
          <w:lang w:val="ro-RO"/>
        </w:rPr>
      </w:pPr>
      <w:r w:rsidRPr="00BE2DFA">
        <w:rPr>
          <w:rFonts w:eastAsia="Times New Roman" w:cs="Arial"/>
          <w:bCs/>
          <w:lang w:val="ro-RO"/>
        </w:rPr>
        <w:t xml:space="preserve">elaborarea unei proceduri de sistem (PS) privind avertizările de integritate și protecția avertizorilor; </w:t>
      </w:r>
    </w:p>
    <w:p w14:paraId="304F446E" w14:textId="77777777" w:rsidR="00BE2DFA" w:rsidRPr="00BE2DFA" w:rsidRDefault="00BE2DFA" w:rsidP="005C525B">
      <w:pPr>
        <w:numPr>
          <w:ilvl w:val="0"/>
          <w:numId w:val="15"/>
        </w:numPr>
        <w:spacing w:after="0"/>
        <w:ind w:left="-567" w:firstLine="0"/>
        <w:contextualSpacing/>
        <w:rPr>
          <w:rFonts w:eastAsia="Times New Roman" w:cs="Arial"/>
          <w:bCs/>
          <w:lang w:val="ro-RO"/>
        </w:rPr>
      </w:pPr>
      <w:r w:rsidRPr="00BE2DFA">
        <w:rPr>
          <w:rFonts w:eastAsia="Times New Roman" w:cs="Arial"/>
          <w:bCs/>
          <w:lang w:val="ro-RO"/>
        </w:rPr>
        <w:t xml:space="preserve">actualizarea și verificarea respectării procedurii de sistem (PS) privind exercitarea controlului financiar preventiv propriu. </w:t>
      </w:r>
    </w:p>
    <w:p w14:paraId="6C010DD8"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Astfel, se poate concluziona că, la nivelul instituției evaluate în anul de referință supus analizei, asemenea proceduri de o importanță primordială în ceea ce privește respectarea standardelor de integritate nu există ori nu sunt respectate. Aceste împrejurări reflectă lipsa de asumare a standardelor de integritate și ridică echipei de evaluare îngrijorări cu privire la modul de lucru din cadrul instituției, în condițiile unor carențe procedurale de natură să vulnerabilizeze nivelul de integritate organizațională, modul de gestionare și trasabilitate al lucrărilor și actelor interne, modul de angajare și direcționare al bugetului propriu (parte din acesta fiind format din fonduri publice din bugetul Ministerului Culturii), respectarea procedurilor de achiziție și a patrimoniului propriu al instituției evaluate. </w:t>
      </w:r>
    </w:p>
    <w:p w14:paraId="7F7D0828"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Deși consilierul de etică este persoana care îndeplinește, în fapt, atribuțiile Grupului de lucru prevăzut de art. 6 din Metodologia standard, acesta nu a beneficiat, în perioada de referință, de programe de formare în domeniul implementării prevederilor legale referitoare la analiza riscurilor de corupție. În urma discuțiilor avute cu ocazia vizitei de evaluare, membrii echipei de evaluare au constatat faptul că consilierul de etică a participat totuși, în anul 2022, la cursuri de formare profesională pe aspecte referitoare la etică și integritate, organizate de un furnizor extern. </w:t>
      </w:r>
    </w:p>
    <w:p w14:paraId="7AAEEDEC"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Din discuțiile purtate de membrii echipei de evaluare cu reprezentanții Teatrului Național „I. L. Caragiale” București a reieșit că rezultatele implementării metodologiei au fost avute în vedere la fundamentarea planului de integritate. În acest sens, la data de 20.06.2022 a fost aprobat </w:t>
      </w:r>
      <w:r w:rsidRPr="00BE2DFA">
        <w:rPr>
          <w:rFonts w:eastAsia="Times New Roman" w:cs="Arial"/>
          <w:bCs/>
          <w:lang w:val="ro-RO"/>
        </w:rPr>
        <w:lastRenderedPageBreak/>
        <w:t xml:space="preserve">Planul de integritate privind implementarea Strategiei Naționale Anticorupție 2021-2025 la nivelul Teatrului Național „I. L. Caragiale” București. </w:t>
      </w:r>
    </w:p>
    <w:p w14:paraId="23EA7FA1" w14:textId="77777777" w:rsidR="00BE2DFA" w:rsidRPr="00BE2DFA" w:rsidRDefault="00BE2DFA" w:rsidP="00630A1B">
      <w:pPr>
        <w:ind w:left="-567"/>
        <w:rPr>
          <w:rFonts w:eastAsia="Times New Roman" w:cs="Arial"/>
          <w:bCs/>
          <w:lang w:val="ro-RO"/>
        </w:rPr>
      </w:pPr>
    </w:p>
    <w:p w14:paraId="762F17EE" w14:textId="77777777" w:rsidR="00BE2DFA" w:rsidRPr="00BE2DFA" w:rsidRDefault="00BE2DFA" w:rsidP="00630A1B">
      <w:pPr>
        <w:numPr>
          <w:ilvl w:val="0"/>
          <w:numId w:val="4"/>
        </w:numPr>
        <w:spacing w:before="120"/>
        <w:ind w:left="-567" w:firstLine="0"/>
        <w:rPr>
          <w:rFonts w:eastAsia="Times New Roman" w:cs="Arial"/>
          <w:b/>
          <w:bCs/>
          <w:lang w:val="ro-RO"/>
        </w:rPr>
      </w:pPr>
      <w:r w:rsidRPr="00BE2DFA">
        <w:rPr>
          <w:rFonts w:eastAsia="Times New Roman" w:cs="Arial"/>
          <w:b/>
          <w:bCs/>
          <w:lang w:val="ro-RO"/>
        </w:rPr>
        <w:t xml:space="preserve">EVALUAREA INCIDENTELOR DE INTEGRITATE ÎN CADRUL AUTORITĂȚILOR ȘI INSTITUȚIILOR PUBLICE CENTRALE ȘI LOCALE </w:t>
      </w:r>
    </w:p>
    <w:p w14:paraId="07B5FA81"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Deși, potrivit chestionarului tematic de evaluare există desemnat un angajat responsabil pentru implementarea metodologiei de evaluare a incidentelor de integritate, în urma vizitei de evaluare s-a constatat că nu există desemnat în mod formal un asemenea responsabil. În fapt, consilierul de etică al instituției este cel care îndeplinește și aceste atribuții, pe lângă cele profesionale potrivit fișei postului, acesta fiind desemnat și responsabil cu protecția datelor cu caracter personal, secretar al Comisiei de Monitorizare a implementării Sistemului de Control Intern Managerial și responsabil cu cardurile de acces în instituție. </w:t>
      </w:r>
    </w:p>
    <w:p w14:paraId="6B57CFD9"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Decizia conducerii instituției evaluate indicate în chestionarul tematic de evaluare ca fiind actul intern de desemnare a angajatului ca responsabil pentru implementarea metodologiei de evaluare a incidentelor de integritate (Decizia nr. 26/BJ/13.02.2020) este, de fapt, decizia de desemnare a consilierului de etică. Astfel, membrii echipei de evaluare au constatat gradul ridicat al volumului de muncă al persoanei desemnate consilier de etică care se confruntă cu reale dificultăți în îndeplinirea sarcinilor de serviciu curente. </w:t>
      </w:r>
    </w:p>
    <w:p w14:paraId="22CD9F63" w14:textId="2E907D93" w:rsidR="00BE2DFA" w:rsidRPr="00BE2DFA" w:rsidRDefault="00BE2DFA" w:rsidP="00630A1B">
      <w:pPr>
        <w:ind w:left="-567"/>
        <w:rPr>
          <w:rFonts w:eastAsia="Times New Roman" w:cs="Arial"/>
          <w:bCs/>
          <w:lang w:val="ro-RO"/>
        </w:rPr>
      </w:pPr>
      <w:r w:rsidRPr="00BE2DFA">
        <w:rPr>
          <w:rFonts w:eastAsia="Times New Roman" w:cs="Arial"/>
          <w:bCs/>
          <w:lang w:val="ro-RO"/>
        </w:rPr>
        <w:t xml:space="preserve">În cadrul discuțiilor purtate cu ocazia vizitei de evaluare a reieșit faptul că consilierul de etică nu a avut  un rol activ de prevenire a încălcării principiilor </w:t>
      </w:r>
      <w:r w:rsidR="00E83BA4" w:rsidRPr="00BE2DFA">
        <w:rPr>
          <w:rFonts w:eastAsia="Times New Roman" w:cs="Arial"/>
          <w:bCs/>
          <w:lang w:val="ro-RO"/>
        </w:rPr>
        <w:t>și</w:t>
      </w:r>
      <w:r w:rsidRPr="00BE2DFA">
        <w:rPr>
          <w:rFonts w:eastAsia="Times New Roman" w:cs="Arial"/>
          <w:bCs/>
          <w:lang w:val="ro-RO"/>
        </w:rPr>
        <w:t xml:space="preserve"> normelor de conduită, sens în care nu a procedat la informări periodice a personalului instituției cu privire la normele de etică, modificări ale cadrului normativ în domeniul eticii și integrității și nu a elaborat analize privind cauzele, riscurile și vulnerabilitățile care se manifestă în activitatea funcționarilor publici din cadrul autorității sau instituției publice și care ar putea determina o încălcare a principiilor și normelor de conduită. Comisia de etică nu s-a întrunit niciodată. Acest aspect se poate datora, în parte, volumului ridicat de muncă ce implică dificultăți în îndeplinirea sarcinilor de serviciu, fiind necesar, în acest sens, un sprijin consistent din partea conducerii instituției evaluate. </w:t>
      </w:r>
    </w:p>
    <w:p w14:paraId="45684DA4" w14:textId="77777777" w:rsidR="00BE2DFA" w:rsidRPr="00BE2DFA" w:rsidRDefault="00BE2DFA" w:rsidP="00630A1B">
      <w:pPr>
        <w:ind w:left="-567"/>
        <w:rPr>
          <w:rFonts w:eastAsia="Times New Roman" w:cs="Arial"/>
          <w:bCs/>
          <w:lang w:val="ro-RO"/>
        </w:rPr>
      </w:pPr>
      <w:r w:rsidRPr="00BE2DFA">
        <w:rPr>
          <w:rFonts w:eastAsia="Times New Roman" w:cs="Arial"/>
          <w:bCs/>
          <w:lang w:val="ro-RO"/>
        </w:rPr>
        <w:t>La nivelul instituției nu există o evidență a sesizărilor incidentelor de integritate, menționându-se că nu au fost primite astfel de sesizări în anul de referință</w:t>
      </w:r>
      <w:r w:rsidRPr="00BE2DFA">
        <w:rPr>
          <w:rFonts w:eastAsia="Calibri"/>
          <w:lang w:val="ro-RO"/>
        </w:rPr>
        <w:t xml:space="preserve"> </w:t>
      </w:r>
      <w:r w:rsidRPr="00BE2DFA">
        <w:rPr>
          <w:rFonts w:eastAsia="Times New Roman" w:cs="Arial"/>
          <w:bCs/>
          <w:lang w:val="ro-RO"/>
        </w:rPr>
        <w:t>de către responsabilul pentru implementarea metodologiei de evaluare a incidentelor de integritate. La nivelul instituției există comisii de etică atât pentru cazurile în care personalul din aparatul administrativ săvârșește abateri de la codul de etică, cât și atunci când personalul artistic săvârșește asemenea fapte. Sesizările sunt primite în scris și prin intermediul poștei electronice, existând la nivelul instituției o procedură de lucru a comisiilor de etică. Codul etic al personalului contractual din cadrul Teatrului Național „I. L. Caragiale” București a fost adoptat prin Decizia managerului interimar nr. 46/BJ/18.03.2022. Modul de lucru al Comisiei de etică este prevăzut în Regulamentul de funcționare a Comisiei de etică (Decizia nr. 72/10.05.2022).</w:t>
      </w:r>
    </w:p>
    <w:p w14:paraId="4D775AA7" w14:textId="0F9B75B4" w:rsidR="00BE2DFA" w:rsidRPr="00BE2DFA" w:rsidRDefault="00BE2DFA" w:rsidP="00630A1B">
      <w:pPr>
        <w:ind w:left="-567"/>
        <w:rPr>
          <w:rFonts w:eastAsia="Times New Roman" w:cs="Arial"/>
          <w:bCs/>
          <w:lang w:val="ro-RO"/>
        </w:rPr>
      </w:pPr>
      <w:r w:rsidRPr="00BE2DFA">
        <w:rPr>
          <w:rFonts w:eastAsia="Times New Roman" w:cs="Arial"/>
          <w:bCs/>
          <w:lang w:val="ro-RO"/>
        </w:rPr>
        <w:t>Cu toate acestea, la nivelul anului 2022 au fost desfășurate 7 cercetări disciplinare, fiind aplicate în special sancțiuni disciplinare constând în 4 avertismente scrise, două sancțiuni de reducere a salariului de bază pentru o lună cu 5%, dar și desfacerea contractului de muncă într-un singur caz pentru absențe nemotivate de la serviciu. Faptele pentru care au fost desfășurate cercetări disciplinare au constat în abateri de la Regulamentul Intern al TNB, acestea fiind de competența Comisiei de disciplin</w:t>
      </w:r>
      <w:r w:rsidR="0060574C">
        <w:rPr>
          <w:rFonts w:eastAsia="Times New Roman" w:cs="Arial"/>
          <w:bCs/>
          <w:lang w:val="ro-RO"/>
        </w:rPr>
        <w:t>a</w:t>
      </w:r>
      <w:r w:rsidRPr="00BE2DFA">
        <w:rPr>
          <w:rFonts w:eastAsia="Times New Roman" w:cs="Arial"/>
          <w:bCs/>
          <w:lang w:val="ro-RO"/>
        </w:rPr>
        <w:t xml:space="preserve"> muncii. În acest context, concluzia la care au ajuns membrii echipei de evaluare este aceea că</w:t>
      </w:r>
      <w:r w:rsidR="0060574C">
        <w:rPr>
          <w:rFonts w:eastAsia="Times New Roman" w:cs="Arial"/>
          <w:bCs/>
          <w:lang w:val="ro-RO"/>
        </w:rPr>
        <w:t>,</w:t>
      </w:r>
      <w:r w:rsidRPr="00BE2DFA">
        <w:rPr>
          <w:rFonts w:eastAsia="Times New Roman" w:cs="Arial"/>
          <w:bCs/>
          <w:lang w:val="ro-RO"/>
        </w:rPr>
        <w:t xml:space="preserve"> în anul de referință au existat totuși incidente de integritate deoarece, </w:t>
      </w:r>
      <w:r w:rsidRPr="00BE2DFA">
        <w:rPr>
          <w:rFonts w:eastAsia="Times New Roman" w:cs="Arial"/>
          <w:bCs/>
          <w:lang w:val="ro-RO"/>
        </w:rPr>
        <w:lastRenderedPageBreak/>
        <w:t>potrivit art. 2 lit. b) din Metodologia de evaluare a incidentelor de integritate în cadrul autorităților și instituțiilor publice centrale, constituie incident de integritate „</w:t>
      </w:r>
      <w:r w:rsidRPr="00BE2DFA">
        <w:rPr>
          <w:rFonts w:eastAsia="Times New Roman" w:cs="Arial"/>
          <w:b/>
          <w:bCs/>
          <w:i/>
          <w:lang w:val="ro-RO"/>
        </w:rPr>
        <w:t>încetarea disciplinară a raporturilor de muncă sau de serviciu</w:t>
      </w:r>
      <w:r w:rsidRPr="00BE2DFA">
        <w:rPr>
          <w:rFonts w:eastAsia="Times New Roman" w:cs="Arial"/>
          <w:bCs/>
          <w:i/>
          <w:lang w:val="ro-RO"/>
        </w:rPr>
        <w:t>, ca urmare a săvârșirii unei abateri de la normele deontologice sau de la alte prevederi similare menite să protejeze integritatea funcției publice, inclusiv cele stabilite prin legislație secundară și terțiară, pentru care este prevăzută această sancțiune</w:t>
      </w:r>
      <w:r w:rsidRPr="00BE2DFA">
        <w:rPr>
          <w:rFonts w:eastAsia="Times New Roman" w:cs="Arial"/>
          <w:bCs/>
          <w:lang w:val="ro-RO"/>
        </w:rPr>
        <w:t xml:space="preserve">”. </w:t>
      </w:r>
    </w:p>
    <w:p w14:paraId="76DD9CD8" w14:textId="6491F87F" w:rsidR="00BE2DFA" w:rsidRPr="00BE2DFA" w:rsidRDefault="00BE2DFA" w:rsidP="00630A1B">
      <w:pPr>
        <w:ind w:left="-567"/>
        <w:rPr>
          <w:rFonts w:eastAsia="Times New Roman" w:cs="Arial"/>
          <w:bCs/>
          <w:lang w:val="ro-RO"/>
        </w:rPr>
      </w:pPr>
      <w:r w:rsidRPr="00BE2DFA">
        <w:rPr>
          <w:rFonts w:eastAsia="Times New Roman" w:cs="Arial"/>
          <w:bCs/>
          <w:lang w:val="ro-RO"/>
        </w:rPr>
        <w:t>Acest aspect subliniază necesitatea desemnării, în primul rând</w:t>
      </w:r>
      <w:r w:rsidR="0060574C">
        <w:rPr>
          <w:rFonts w:eastAsia="Times New Roman" w:cs="Arial"/>
          <w:bCs/>
          <w:lang w:val="ro-RO"/>
        </w:rPr>
        <w:t>,</w:t>
      </w:r>
      <w:r w:rsidRPr="00BE2DFA">
        <w:rPr>
          <w:rFonts w:eastAsia="Times New Roman" w:cs="Arial"/>
          <w:bCs/>
          <w:lang w:val="ro-RO"/>
        </w:rPr>
        <w:t xml:space="preserve"> a unui responsabil cu evaluarea incidentelor de integritate și, în al doilea rând, evaluare a acestor incidente și de realizare a evidențelor impuse de metodologia a cărei implementare a fost evaluată de către echipa de evaluare. Neîndeplinirea acestor etape reclamă intervenție urgentă din partea conducerii instituției și reprezintă riscuri la adresa integrității instituționale și a personalului acesteia, precum și la standardele naționale anticorupție, cu atât mai mult cu cât încă din data de 21.03.2022 Teatrul Național „I. L. Caragiale” București s-a angajat prin declarația conducătorului instituției de a-și asuma agenda de integritate organizațională pentru implementarea Strategiei Naționale Anticorupție 2021-2025.  </w:t>
      </w:r>
    </w:p>
    <w:p w14:paraId="2ED7050E"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Deși la nivelul instituției evaluate nu există o procedură de lucru referitoare la avertizările de integritate și protecția avertizorilor, Codul etic al personalului contractual din cadrul Teatrului Național „I. L. Caragiale” București prevede la art. 21 alin. (2) respectarea confidențialității identității persoanei care a făcut sesizarea. Desigur, acest aspect nu este suficient, fiind necesară elaborarea unei proceduri specifice care să prevadă etape și pași concreți de urmat în aceste situații și care să fie conformă legislației în materie (Legea nr. 361/2022 privind protecția avertizorilor în interes public, cu modificările și completările ulterioare). </w:t>
      </w:r>
    </w:p>
    <w:p w14:paraId="09E9A3DC"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În ceea ce privește participarea în anul 2022 la programe de formare în domeniul implementării prevederilor legale referitoare la evaluarea incidentelor de integritate, în urma discuțiilor cu reprezentanții instituției evaluate a rezultat faptul că consilierul de etică a participat  doar la cursuri de formare profesională pe aspecte referitoare la etică,  integritate și transparență decizională. </w:t>
      </w:r>
    </w:p>
    <w:p w14:paraId="633FE41F" w14:textId="11D93479" w:rsidR="00BE2DFA" w:rsidRPr="00BE2DFA" w:rsidRDefault="00BE2DFA" w:rsidP="00630A1B">
      <w:pPr>
        <w:ind w:left="-567"/>
        <w:rPr>
          <w:rFonts w:eastAsia="Times New Roman" w:cs="Arial"/>
          <w:bCs/>
          <w:lang w:val="ro-RO"/>
        </w:rPr>
      </w:pPr>
      <w:r w:rsidRPr="00BE2DFA">
        <w:rPr>
          <w:rFonts w:eastAsia="Times New Roman" w:cs="Arial"/>
          <w:bCs/>
          <w:lang w:val="ro-RO"/>
        </w:rPr>
        <w:t>Nu a fost elaborat, aprobat și publicat Raportul anual privind evaluarea incidentelor și nici au fost valorificate în procesul de evaluare a riscurilor de corupție desfășurat în anul 2022, împrejurare întemeiată</w:t>
      </w:r>
      <w:r w:rsidR="0060574C">
        <w:rPr>
          <w:rFonts w:eastAsia="Times New Roman" w:cs="Arial"/>
          <w:bCs/>
          <w:lang w:val="ro-RO"/>
        </w:rPr>
        <w:t>,</w:t>
      </w:r>
      <w:r w:rsidRPr="00BE2DFA">
        <w:rPr>
          <w:rFonts w:eastAsia="Times New Roman" w:cs="Arial"/>
          <w:bCs/>
          <w:lang w:val="ro-RO"/>
        </w:rPr>
        <w:t xml:space="preserve"> parțial</w:t>
      </w:r>
      <w:r w:rsidR="0060574C">
        <w:rPr>
          <w:rFonts w:eastAsia="Times New Roman" w:cs="Arial"/>
          <w:bCs/>
          <w:lang w:val="ro-RO"/>
        </w:rPr>
        <w:t>,</w:t>
      </w:r>
      <w:r w:rsidRPr="00BE2DFA">
        <w:rPr>
          <w:rFonts w:eastAsia="Times New Roman" w:cs="Arial"/>
          <w:bCs/>
          <w:lang w:val="ro-RO"/>
        </w:rPr>
        <w:t xml:space="preserve"> pe lipsa acestor incidente. </w:t>
      </w:r>
    </w:p>
    <w:p w14:paraId="251F51C1"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Deși, potrivit chestionarului tematic de evaluare, instituția evaluată a precizat că planul de integritate a fost actualizat în urma analizei incidentelor de integritate, în realitate, acest lucru nu s-a întâmplat. Așa cum precizam anterior, Planul de integritate privind implementarea Strategiei Naționale Anticorupție 2021-2025 la nivelul Teatrului Național „I. L. Caragiale” București a fost aprobat prin decizie a conducătorului instituției la data de 20.06.2022. </w:t>
      </w:r>
    </w:p>
    <w:p w14:paraId="3D902072" w14:textId="77777777" w:rsidR="00BE2DFA" w:rsidRPr="00BE2DFA" w:rsidRDefault="00BE2DFA" w:rsidP="00630A1B">
      <w:pPr>
        <w:ind w:left="-567"/>
        <w:rPr>
          <w:rFonts w:eastAsia="Times New Roman" w:cs="Arial"/>
          <w:bCs/>
          <w:lang w:val="ro-RO"/>
        </w:rPr>
      </w:pPr>
      <w:r w:rsidRPr="00BE2DFA">
        <w:rPr>
          <w:rFonts w:eastAsia="Times New Roman" w:cs="Arial"/>
          <w:bCs/>
          <w:lang w:val="ro-RO"/>
        </w:rPr>
        <w:t xml:space="preserve">În anul de referință, respectiv 2022, nu au existat la nivelul instituției incidente de integritate care să fi fost în atenția mass media. Apreciem oportun, în contextul prezentei misiuni de evaluare, menționarea  incidentului din martie 2022 - publicația „Certitudinea”, a fost distribuită într-una dintre sălile Teatrului Național „I. L. Caragiale” București cu ocazia unui eveniment desfășurat de Ziua Mondială a Teatrului Ministerul Culturii și instituția evaluată desfășurând anchete interne cu privire la acest incident, fiind sesizate organele judiciare cu privire la acest eveniment (procedură finalizată prin dispunerea soluției de clasare). </w:t>
      </w:r>
    </w:p>
    <w:p w14:paraId="5D398C41" w14:textId="77777777" w:rsidR="00BE2DFA" w:rsidRPr="00BE2DFA" w:rsidRDefault="00BE2DFA" w:rsidP="00630A1B">
      <w:pPr>
        <w:ind w:left="-567"/>
        <w:rPr>
          <w:rFonts w:eastAsia="Times New Roman" w:cs="Arial"/>
          <w:bCs/>
          <w:lang w:val="ro-RO"/>
        </w:rPr>
      </w:pPr>
    </w:p>
    <w:p w14:paraId="03C68776" w14:textId="77777777" w:rsidR="00BE2DFA" w:rsidRPr="00BE2DFA" w:rsidRDefault="00BE2DFA" w:rsidP="00630A1B">
      <w:pPr>
        <w:numPr>
          <w:ilvl w:val="0"/>
          <w:numId w:val="4"/>
        </w:numPr>
        <w:spacing w:before="120"/>
        <w:ind w:left="-567" w:firstLine="0"/>
        <w:rPr>
          <w:rFonts w:eastAsia="Times New Roman" w:cs="Arial"/>
          <w:b/>
          <w:bCs/>
          <w:lang w:val="ro-RO"/>
        </w:rPr>
      </w:pPr>
      <w:r w:rsidRPr="00BE2DFA">
        <w:rPr>
          <w:rFonts w:eastAsia="Times New Roman" w:cs="Arial"/>
          <w:b/>
          <w:bCs/>
          <w:lang w:val="ro-RO"/>
        </w:rPr>
        <w:lastRenderedPageBreak/>
        <w:t>GESTIONAREA MECANISMULUI DE IMPLEMENTARE A SNA DE CĂTRE INSTITUȚIILE PUBLICE (INCLUSIV ÎNTREPRINDERI PUBLICE)</w:t>
      </w:r>
    </w:p>
    <w:p w14:paraId="72477848" w14:textId="3EDFDB1B" w:rsidR="00BE2DFA" w:rsidRPr="00BE2DFA" w:rsidRDefault="00BE2DFA" w:rsidP="00630A1B">
      <w:pPr>
        <w:ind w:left="-567"/>
        <w:contextualSpacing/>
        <w:rPr>
          <w:rFonts w:eastAsia="Times New Roman" w:cs="Arial"/>
          <w:bCs/>
          <w:lang w:val="ro-RO"/>
        </w:rPr>
      </w:pPr>
      <w:r w:rsidRPr="00BE2DFA">
        <w:rPr>
          <w:rFonts w:eastAsia="Times New Roman" w:cs="Arial"/>
          <w:lang w:val="ro-RO"/>
        </w:rPr>
        <w:t xml:space="preserve">La nivelul instituției evaluate, în cursul anului de referință (2022) nu a existat o structură și nici nu a fost desemnată o persoană care să gestioneze implementarea Strategiei Naționale Anticorupție. Aceste atribuții au fost, în fapt, îndeplinite de către referentul de specialitate din cadrul biroului IT și adresare publică, fără să existe o bază legală în acest sens, respectiv o decizie a conducătorului </w:t>
      </w:r>
      <w:r w:rsidRPr="00BE2DFA">
        <w:rPr>
          <w:rFonts w:eastAsia="Times New Roman" w:cs="Arial"/>
          <w:bCs/>
          <w:lang w:val="ro-RO"/>
        </w:rPr>
        <w:t xml:space="preserve">Teatrului Național „I. L. Caragiale” București. </w:t>
      </w:r>
    </w:p>
    <w:p w14:paraId="3ADE47C2" w14:textId="77777777" w:rsidR="00BE2DFA" w:rsidRPr="00BE2DFA" w:rsidRDefault="00BE2DFA" w:rsidP="00630A1B">
      <w:pPr>
        <w:ind w:left="-567"/>
        <w:contextualSpacing/>
        <w:rPr>
          <w:rFonts w:eastAsia="Calibri"/>
          <w:lang w:val="ro-RO"/>
        </w:rPr>
      </w:pPr>
      <w:r w:rsidRPr="00BE2DFA">
        <w:rPr>
          <w:rFonts w:eastAsia="Times New Roman" w:cs="Arial"/>
          <w:lang w:val="ro-RO"/>
        </w:rPr>
        <w:t xml:space="preserve">În cadrul discuțiilor avute cu ocazia vizitei de evaluare, reprezentanții instituției evaluate au invocat lipsa resursei umane necesare ca argument pentru insuficiența resurselor alocate problematicii implementării Strategiei Naționale Anticorupție. Astfel, s-a menționat nevoia unei suplimentări a schemei de personal cu aproximativ 100 de posturi, or în opinia echipei de evaluare, acest aspect nu afectează în mod semnificativ necesitatea realizării unei diviziuni a muncii în cadrul instituției în ceea ce privește desemnarea prin decizie a persoanelor responsabile cu evaluarea ori implementarea diferitelor standarde anticorupție. Așa cum am arătat anterior, </w:t>
      </w:r>
      <w:r w:rsidRPr="00BE2DFA">
        <w:rPr>
          <w:rFonts w:eastAsia="Calibri"/>
          <w:lang w:val="ro-RO"/>
        </w:rPr>
        <w:t xml:space="preserve">pe lângă atribuțiile specifice funcției pe care o ocupă și celor specifice consilierului de etică, persoana în cauză mai este desemnată ca responsabil cu implementarea Strategiei Naționale Anticorupție, responsabil cu protecția datelor cu caracter personal, responsabil de cardurile de acces, fiind și secretarul Comisiei Sistemului de Control Intern Managerial. Credem că lipsa de personal nu poate fi un pretext pentru supraîncărcarea volumului de muncă al unei singure persoane din instituție, o variantă mai eficientă în acest sens fiind desemnarea mai multor persoane responsabile întrucât sunt foarte multe domenii de acoperit. </w:t>
      </w:r>
    </w:p>
    <w:p w14:paraId="7C73C300" w14:textId="77777777" w:rsidR="00BE2DFA" w:rsidRPr="00BE2DFA" w:rsidRDefault="00BE2DFA" w:rsidP="00630A1B">
      <w:pPr>
        <w:ind w:left="-567"/>
        <w:contextualSpacing/>
        <w:rPr>
          <w:rFonts w:eastAsia="Calibri"/>
          <w:lang w:val="ro-RO"/>
        </w:rPr>
      </w:pPr>
      <w:r w:rsidRPr="00BE2DFA">
        <w:rPr>
          <w:rFonts w:eastAsia="Calibri"/>
          <w:lang w:val="ro-RO"/>
        </w:rPr>
        <w:t>Așa cum rezultă din chestionarul tematic de evaluare, managementul nu se implică în promovarea integrității la nivel instituțional, aspect confirmat cu ocazia vizitei de evaluare și care denotă lipsa asumării reale a agendei de integritate și de implementare a standardelor Strategiei Naționale Anticorupție.</w:t>
      </w:r>
    </w:p>
    <w:p w14:paraId="000CDBED" w14:textId="77777777" w:rsidR="00BE2DFA" w:rsidRPr="00BE2DFA" w:rsidRDefault="00BE2DFA" w:rsidP="00630A1B">
      <w:pPr>
        <w:ind w:left="-567"/>
        <w:contextualSpacing/>
        <w:rPr>
          <w:rFonts w:eastAsia="Calibri"/>
          <w:lang w:val="ro-RO"/>
        </w:rPr>
      </w:pPr>
      <w:r w:rsidRPr="00BE2DFA">
        <w:rPr>
          <w:rFonts w:eastAsia="Calibri"/>
          <w:lang w:val="ro-RO"/>
        </w:rPr>
        <w:t>Canalele interne de comunicare și de promovare a integrității în cadrul instituției sunt unele atipice și adaptate la natura activității desfășurate și la specificul angajaților. Astfel, potrivit celor comunicate de reprezentanții instituției evaluate în cadrul misiunii de evaluare, nu toți angajații au o adresă de e-mail profesională (o posibilă explicație în acest sens fiind faptul că instituția are exclusiv personal contractual, o parte dintre aceștia fiind angajați cu contract de muncă pe durată determinată, iar crearea unei adrese de e-mail dedicate fiecărui angajat poate determina costuri suplimentare de gestionare)</w:t>
      </w:r>
      <w:r w:rsidRPr="00BE2DFA">
        <w:rPr>
          <w:rFonts w:eastAsia="Calibri"/>
          <w:vertAlign w:val="superscript"/>
          <w:lang w:val="ro-RO"/>
        </w:rPr>
        <w:footnoteReference w:id="4"/>
      </w:r>
      <w:r w:rsidRPr="00BE2DFA">
        <w:rPr>
          <w:rFonts w:eastAsia="Calibri"/>
          <w:lang w:val="ro-RO"/>
        </w:rPr>
        <w:t xml:space="preserve">. Principalele canale de comunicare între angajații instituției (din sectorul administrativ și din sectorul artistic) sunt reprezentate de grupurile de </w:t>
      </w:r>
      <w:proofErr w:type="spellStart"/>
      <w:r w:rsidRPr="00BE2DFA">
        <w:rPr>
          <w:rFonts w:eastAsia="Calibri"/>
          <w:lang w:val="ro-RO"/>
        </w:rPr>
        <w:t>Whatsapp</w:t>
      </w:r>
      <w:proofErr w:type="spellEnd"/>
      <w:r w:rsidRPr="00BE2DFA">
        <w:rPr>
          <w:rFonts w:eastAsia="Calibri"/>
          <w:lang w:val="ro-RO"/>
        </w:rPr>
        <w:t>, precum și de afișarea informațiilor și comunicărilor relevante la avizierul ori pe pagina de internet a instituției. De asemenea, unele acte administrative cu caracter individual sunt comunicate destinatarilor acestora inclusiv prin poștă. Reprezentanții TNB au precizat că formațiile de muncitori sau personalul de la ateliere, nu au calculatoare proprii puse la dispoziție de către instituție, domeniul acestora de activitate implicând rar utilizarea calculatorului și, implicit a emailului. Prin urmare, comunicare cu aceștia se realizează prin șefii de formație sau ateliere care au e-mailuri personalizate.</w:t>
      </w:r>
    </w:p>
    <w:p w14:paraId="085DCF92" w14:textId="77777777" w:rsidR="00BE2DFA" w:rsidRPr="00BE2DFA" w:rsidRDefault="00BE2DFA" w:rsidP="00630A1B">
      <w:pPr>
        <w:ind w:left="-567"/>
        <w:contextualSpacing/>
        <w:rPr>
          <w:rFonts w:eastAsia="Times New Roman" w:cs="Arial"/>
          <w:lang w:val="ro-RO"/>
        </w:rPr>
      </w:pPr>
      <w:r w:rsidRPr="00BE2DFA">
        <w:rPr>
          <w:rFonts w:eastAsia="Times New Roman" w:cs="Arial"/>
          <w:lang w:val="ro-RO"/>
        </w:rPr>
        <w:t xml:space="preserve">Pe deplin conștientă de specificul aparte al activității și al personalului propriu,  echipa de evaluare este de părere că aceste canale de comunicare se pot dovedi defectuoase în comunicarea unor informații ample ori documente care necesită studiu individual (de exemplu, modificarea unei proceduri operaționale, schimbarea modului de sesizare a unor fapte, actualizarea </w:t>
      </w:r>
      <w:r w:rsidRPr="00BE2DFA">
        <w:rPr>
          <w:rFonts w:eastAsia="Times New Roman" w:cs="Arial"/>
          <w:lang w:val="ro-RO"/>
        </w:rPr>
        <w:lastRenderedPageBreak/>
        <w:t xml:space="preserve">regulamentului intern, a codului de conduită ori a proceduri de lucru etc.). Canalele de comunicare informale, deși pot fi apreciate ca fiind mai eficiente, nu trebuie să le înlocuiască pe cele formale (e-mail grup de angajați, de exemplu) deoarece trasabilitatea activității și a informărilor realizate reprezintă un deziderat în eficiența și transparența activității unei instituții publice. </w:t>
      </w:r>
    </w:p>
    <w:p w14:paraId="11F0B78F" w14:textId="77777777" w:rsidR="00BE2DFA" w:rsidRPr="00BE2DFA" w:rsidRDefault="00BE2DFA" w:rsidP="00630A1B">
      <w:pPr>
        <w:ind w:left="-567"/>
        <w:contextualSpacing/>
        <w:rPr>
          <w:rFonts w:eastAsia="Times New Roman" w:cs="Arial"/>
          <w:lang w:val="ro-RO"/>
        </w:rPr>
      </w:pPr>
      <w:r w:rsidRPr="00BE2DFA">
        <w:rPr>
          <w:rFonts w:eastAsia="Times New Roman" w:cs="Arial"/>
          <w:lang w:val="ro-RO"/>
        </w:rPr>
        <w:t xml:space="preserve">De asemenea, canalele interne și oficiale de comunicare sunt de dorit a exista într-o instituție nu doar prin perspectiva comunicării pe verticală dinspre conducerea instituției către angajați, ci și dinspre angajați spre conducere atunci când vor să sesizeze ori aducă la cunoștința superiorilor ierarhici anumite abateri, fapte ori împrejurări (inclusiv a unor sesizări formulate de către avertizorii de integritate). </w:t>
      </w:r>
    </w:p>
    <w:p w14:paraId="5ABEADD3" w14:textId="77777777" w:rsidR="00BE2DFA" w:rsidRPr="00BE2DFA" w:rsidRDefault="00BE2DFA" w:rsidP="00630A1B">
      <w:pPr>
        <w:ind w:left="-567"/>
        <w:contextualSpacing/>
        <w:rPr>
          <w:rFonts w:eastAsia="Times New Roman" w:cs="Arial"/>
          <w:lang w:val="ro-RO"/>
        </w:rPr>
      </w:pPr>
      <w:r w:rsidRPr="00BE2DFA">
        <w:rPr>
          <w:rFonts w:eastAsia="Times New Roman" w:cs="Arial"/>
          <w:lang w:val="ro-RO"/>
        </w:rPr>
        <w:t>În cadrul discuțiilor cu reprezentanții instituției evaluate, aceștia au reclamat existența unei nevoi stringente cu privire la necesitatea elaborării și aplicării unor proceduri de sistem clare pentru asigurarea respectării standardelor de integritate incluse în Anexa nr. 3 a Hotărârii Guvernului nr. 1269/2021</w:t>
      </w:r>
      <w:r w:rsidRPr="00BE2DFA">
        <w:rPr>
          <w:rFonts w:eastAsia="Calibri"/>
          <w:szCs w:val="24"/>
          <w:lang w:val="ro-RO"/>
        </w:rPr>
        <w:t xml:space="preserve"> p</w:t>
      </w:r>
      <w:r w:rsidRPr="00BE2DFA">
        <w:rPr>
          <w:rFonts w:eastAsia="Times New Roman" w:cs="Arial"/>
          <w:lang w:val="ro-RO"/>
        </w:rPr>
        <w:t xml:space="preserve">rivind aprobarea Strategiei naționale anticorupție 2021-2025. Membrii echipei de evaluare au constatat faptul că pe pagina de internet a Teatrului Național „I. L. Caragiale” București nu sunt publicate ori actualizate informații esențiale referitoare la activitatea unei instituții publice care își formează bugetul prin fonduri publice, respectiv informații care interesează achizițiile publice (potrivit celor comunicate, majoritatea achizițiilor publice efectuate sunt achiziții directe), execuție bugetară, bilanțuri contabile, rapoarte anuale de activitate, rapoarte privind implementarea </w:t>
      </w:r>
      <w:r w:rsidRPr="00BE2DFA">
        <w:rPr>
          <w:rFonts w:eastAsia="Times New Roman"/>
          <w:bCs/>
          <w:shd w:val="clear" w:color="auto" w:fill="FFFFFF"/>
          <w:lang w:val="ro-RO"/>
        </w:rPr>
        <w:t xml:space="preserve">Legii nr. 544/2001 privind liberul acces la informații de interes public, CV-uri, raportul privind stadiul implementării măsurilor prevăzute de SNA și de Planul de integritate (a se avea în vedere și Standardele generale de publicare a informațiilor de interes public prevăzute de Anexa nr. 4 din H.G. nr. 1269/2021). </w:t>
      </w:r>
      <w:r w:rsidRPr="00BE2DFA">
        <w:rPr>
          <w:rFonts w:eastAsia="Calibri"/>
          <w:szCs w:val="24"/>
          <w:lang w:val="ro-RO"/>
        </w:rPr>
        <w:t>Membrii echipei de evaluare apreciază că activitatea specifică domeniului transparenței decizionale poate fi îmbunătățită din perspectiva exigențelor incluse în Anexa nr. 4 a SNA, mai ales din perspectiva publicării documentelor în format deschis.</w:t>
      </w:r>
    </w:p>
    <w:p w14:paraId="30AE688B" w14:textId="390D2BA9" w:rsidR="00BE2DFA" w:rsidRDefault="00BE2DFA" w:rsidP="00630A1B">
      <w:pPr>
        <w:ind w:left="-567"/>
        <w:contextualSpacing/>
        <w:rPr>
          <w:rFonts w:eastAsia="Times New Roman" w:cs="Arial"/>
          <w:lang w:val="ro-RO"/>
        </w:rPr>
      </w:pPr>
    </w:p>
    <w:p w14:paraId="0ADBA7AB" w14:textId="77777777" w:rsidR="00BE2DFA" w:rsidRPr="00BE2DFA" w:rsidRDefault="00BE2DFA" w:rsidP="00630A1B">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E2DFA">
        <w:rPr>
          <w:rFonts w:eastAsia="Times New Roman" w:cs="Arial"/>
          <w:b/>
          <w:lang w:val="ro-RO"/>
        </w:rPr>
        <w:t xml:space="preserve">III. BUNE PRACTICI </w:t>
      </w:r>
    </w:p>
    <w:p w14:paraId="7014FCEB" w14:textId="77777777" w:rsidR="00BE2DFA" w:rsidRPr="00BE2DFA" w:rsidRDefault="00BE2DFA" w:rsidP="00630A1B">
      <w:pPr>
        <w:numPr>
          <w:ilvl w:val="0"/>
          <w:numId w:val="6"/>
        </w:numPr>
        <w:spacing w:before="120"/>
        <w:ind w:left="-567" w:firstLine="0"/>
        <w:rPr>
          <w:rFonts w:eastAsia="Calibri"/>
          <w:b/>
          <w:lang w:val="ro-RO"/>
        </w:rPr>
      </w:pPr>
      <w:r w:rsidRPr="00BE2DFA">
        <w:rPr>
          <w:rFonts w:eastAsia="Times New Roman" w:cs="Arial"/>
          <w:b/>
          <w:bCs/>
          <w:lang w:val="ro-RO"/>
        </w:rPr>
        <w:t>EVALUAREA</w:t>
      </w:r>
      <w:r w:rsidRPr="00BE2DFA">
        <w:rPr>
          <w:rFonts w:eastAsia="Calibri"/>
          <w:b/>
          <w:lang w:val="ro-RO"/>
        </w:rPr>
        <w:t xml:space="preserve"> RISCURILOR DE CORUPȚIE ÎN CADRUL AUTORITĂȚILOR ȘI INSTITUȚIILOR PUBLICE CENTRALE ȘI LOCALE</w:t>
      </w:r>
    </w:p>
    <w:p w14:paraId="7037B602" w14:textId="77777777" w:rsidR="00BE2DFA" w:rsidRPr="00BE2DFA" w:rsidRDefault="00BE2DFA" w:rsidP="00630A1B">
      <w:pPr>
        <w:ind w:left="-567"/>
        <w:rPr>
          <w:rFonts w:eastAsia="Calibri"/>
          <w:lang w:val="ro-RO"/>
        </w:rPr>
      </w:pPr>
      <w:r w:rsidRPr="00BE2DFA">
        <w:rPr>
          <w:rFonts w:eastAsia="Calibri"/>
          <w:lang w:val="ro-RO"/>
        </w:rPr>
        <w:t>Nu au fost identificate.</w:t>
      </w:r>
    </w:p>
    <w:p w14:paraId="6EEA83E5" w14:textId="77777777" w:rsidR="00BE2DFA" w:rsidRPr="00BE2DFA" w:rsidRDefault="00BE2DFA" w:rsidP="00630A1B">
      <w:pPr>
        <w:numPr>
          <w:ilvl w:val="0"/>
          <w:numId w:val="6"/>
        </w:numPr>
        <w:spacing w:before="120"/>
        <w:ind w:left="-567" w:firstLine="0"/>
        <w:rPr>
          <w:rFonts w:eastAsia="Times New Roman"/>
          <w:b/>
          <w:bCs/>
          <w:shd w:val="clear" w:color="auto" w:fill="FFFFFF"/>
          <w:lang w:val="ro-RO"/>
        </w:rPr>
      </w:pPr>
      <w:r w:rsidRPr="00BE2DFA">
        <w:rPr>
          <w:rFonts w:eastAsia="Times New Roman" w:cs="Arial"/>
          <w:b/>
          <w:bCs/>
          <w:lang w:val="ro-RO"/>
        </w:rPr>
        <w:t>EVALUAREA</w:t>
      </w:r>
      <w:r w:rsidRPr="00BE2DFA">
        <w:rPr>
          <w:rFonts w:eastAsia="Calibri"/>
          <w:b/>
          <w:bCs/>
          <w:szCs w:val="24"/>
          <w:lang w:val="ro-RO"/>
        </w:rPr>
        <w:t xml:space="preserve"> INCIDENTELOR DE INTEGRITATE ÎN CADRUL AUTORITĂȚILOR ȘI INSTITUȚIILOR PUBLICE CENTRALE ȘI LOCALE </w:t>
      </w:r>
    </w:p>
    <w:p w14:paraId="35D2E46C" w14:textId="77777777"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Nu au fost identificate.</w:t>
      </w:r>
    </w:p>
    <w:p w14:paraId="55CC68B6" w14:textId="77777777" w:rsidR="00BE2DFA" w:rsidRPr="00BE2DFA" w:rsidRDefault="00BE2DFA" w:rsidP="00630A1B">
      <w:pPr>
        <w:numPr>
          <w:ilvl w:val="0"/>
          <w:numId w:val="6"/>
        </w:numPr>
        <w:spacing w:before="120"/>
        <w:ind w:left="-567" w:firstLine="0"/>
        <w:rPr>
          <w:rFonts w:eastAsia="Times New Roman"/>
          <w:b/>
          <w:bCs/>
          <w:shd w:val="clear" w:color="auto" w:fill="FFFFFF"/>
          <w:lang w:val="ro-RO"/>
        </w:rPr>
      </w:pPr>
      <w:r w:rsidRPr="00BE2DFA">
        <w:rPr>
          <w:rFonts w:eastAsia="Times New Roman" w:cs="Arial"/>
          <w:b/>
          <w:bCs/>
          <w:lang w:val="ro-RO"/>
        </w:rPr>
        <w:t>G</w:t>
      </w:r>
      <w:r w:rsidRPr="00BE2DFA">
        <w:rPr>
          <w:rFonts w:eastAsia="Calibri" w:cs="Arial"/>
          <w:b/>
          <w:bCs/>
          <w:szCs w:val="24"/>
          <w:lang w:val="ro-RO"/>
        </w:rPr>
        <w:t>ESTIONAREA</w:t>
      </w:r>
      <w:r w:rsidRPr="00BE2DFA">
        <w:rPr>
          <w:rFonts w:eastAsia="Calibri"/>
          <w:b/>
          <w:bCs/>
          <w:szCs w:val="24"/>
          <w:lang w:val="ro-RO"/>
        </w:rPr>
        <w:t xml:space="preserve"> MECANISMULUI DE IMPLEMENTARE A SNA DE CĂTRE INSTITUȚIILE PUBLICE (INCLUSIV ÎNTREPRINDERI PUBLICE)</w:t>
      </w:r>
    </w:p>
    <w:p w14:paraId="1DD9E6C3" w14:textId="77777777" w:rsidR="00BE2DFA" w:rsidRDefault="00BE2DFA" w:rsidP="00630A1B">
      <w:pPr>
        <w:ind w:left="-567"/>
        <w:rPr>
          <w:rFonts w:eastAsia="Times New Roman" w:cs="Arial"/>
          <w:lang w:val="ro-RO"/>
        </w:rPr>
      </w:pPr>
      <w:r w:rsidRPr="00BE2DFA">
        <w:rPr>
          <w:rFonts w:eastAsia="Times New Roman" w:cs="Arial"/>
          <w:lang w:val="ro-RO"/>
        </w:rPr>
        <w:t>Nu au fost identificate.</w:t>
      </w:r>
    </w:p>
    <w:p w14:paraId="472618BA" w14:textId="77777777" w:rsidR="002A45FB" w:rsidRPr="00BE2DFA" w:rsidRDefault="002A45FB" w:rsidP="00630A1B">
      <w:pPr>
        <w:ind w:left="-567"/>
        <w:rPr>
          <w:rFonts w:eastAsia="Times New Roman" w:cs="Arial"/>
          <w:lang w:val="ro-RO"/>
        </w:rPr>
      </w:pPr>
    </w:p>
    <w:p w14:paraId="1ED02825" w14:textId="77777777" w:rsidR="00BE2DFA" w:rsidRPr="00BE2DFA" w:rsidRDefault="00BE2DFA" w:rsidP="00630A1B">
      <w:pPr>
        <w:pBdr>
          <w:top w:val="single" w:sz="4" w:space="1" w:color="auto"/>
          <w:left w:val="single" w:sz="4" w:space="4" w:color="auto"/>
          <w:bottom w:val="single" w:sz="4" w:space="1" w:color="auto"/>
          <w:right w:val="single" w:sz="4" w:space="4" w:color="auto"/>
        </w:pBdr>
        <w:ind w:left="-567"/>
        <w:rPr>
          <w:rFonts w:eastAsia="Times New Roman" w:cs="Arial"/>
          <w:b/>
          <w:lang w:val="ro-RO"/>
        </w:rPr>
      </w:pPr>
      <w:r w:rsidRPr="00BE2DFA">
        <w:rPr>
          <w:rFonts w:eastAsia="Times New Roman" w:cs="Arial"/>
          <w:b/>
          <w:lang w:val="ro-RO"/>
        </w:rPr>
        <w:t xml:space="preserve">IV. CONCLUZII ȘI RECOMANDĂRI </w:t>
      </w:r>
    </w:p>
    <w:p w14:paraId="32A0CAD1" w14:textId="2E104942" w:rsidR="00BE2DFA" w:rsidRPr="00BE2DFA" w:rsidRDefault="00BE2DFA" w:rsidP="00630A1B">
      <w:pPr>
        <w:ind w:left="-567"/>
        <w:rPr>
          <w:rFonts w:eastAsia="Times New Roman" w:cs="Arial"/>
          <w:b/>
          <w:bCs/>
          <w:lang w:val="ro-RO"/>
        </w:rPr>
      </w:pPr>
      <w:r w:rsidRPr="00BE2DFA">
        <w:rPr>
          <w:rFonts w:eastAsia="Times New Roman" w:cs="Arial"/>
          <w:b/>
          <w:bCs/>
          <w:lang w:val="ro-RO"/>
        </w:rPr>
        <w:t>Recomandare cu caracter general:</w:t>
      </w:r>
    </w:p>
    <w:p w14:paraId="5D917051" w14:textId="77777777"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 xml:space="preserve">Efectuarea de demersuri specifice, inclusiv la nivelul structurii supraordonate (Ministerul Culturii), pentru eliminarea situației de provizorat care durează de aproximativ 2 ani la cel mai înalt nivel </w:t>
      </w:r>
      <w:r w:rsidRPr="00BE2DFA">
        <w:rPr>
          <w:rFonts w:eastAsia="Times New Roman"/>
          <w:bCs/>
          <w:shd w:val="clear" w:color="auto" w:fill="FFFFFF"/>
          <w:lang w:val="ro-RO"/>
        </w:rPr>
        <w:lastRenderedPageBreak/>
        <w:t xml:space="preserve">de conducere al Teatrului Național „I. L. Caragiale” București, în sensul asigurării unei conduceri stabile. </w:t>
      </w:r>
    </w:p>
    <w:p w14:paraId="2F8EBCB4" w14:textId="77777777" w:rsidR="00BE2DFA" w:rsidRPr="00BE2DFA" w:rsidRDefault="00BE2DFA" w:rsidP="00630A1B">
      <w:pPr>
        <w:ind w:left="-567"/>
        <w:rPr>
          <w:rFonts w:eastAsia="Times New Roman" w:cs="Arial"/>
          <w:b/>
          <w:bCs/>
          <w:lang w:val="ro-RO"/>
        </w:rPr>
      </w:pPr>
    </w:p>
    <w:p w14:paraId="11EA00BD" w14:textId="77777777" w:rsidR="00BE2DFA" w:rsidRPr="00BE2DFA" w:rsidRDefault="00BE2DFA" w:rsidP="00630A1B">
      <w:pPr>
        <w:numPr>
          <w:ilvl w:val="0"/>
          <w:numId w:val="7"/>
        </w:numPr>
        <w:spacing w:before="120"/>
        <w:ind w:left="-567" w:firstLine="0"/>
        <w:rPr>
          <w:rFonts w:eastAsia="Times New Roman" w:cs="Arial"/>
          <w:b/>
          <w:bCs/>
          <w:lang w:val="ro-RO"/>
        </w:rPr>
      </w:pPr>
      <w:r w:rsidRPr="00BE2DFA">
        <w:rPr>
          <w:rFonts w:eastAsia="Times New Roman" w:cs="Arial"/>
          <w:b/>
          <w:bCs/>
          <w:lang w:val="ro-RO"/>
        </w:rPr>
        <w:t xml:space="preserve">EVALUAREA RISCURILOR DE CORUPȚIE ÎN CADRUL AUTORITĂȚILOR ȘI INSTITUȚIILOR PUBLICE CENTRALE ȘI LOCALE </w:t>
      </w:r>
    </w:p>
    <w:p w14:paraId="592B00BD" w14:textId="77777777" w:rsidR="00BE2DFA" w:rsidRPr="00BE2DFA" w:rsidRDefault="00BE2DFA" w:rsidP="00630A1B">
      <w:pPr>
        <w:ind w:left="-567"/>
        <w:rPr>
          <w:rFonts w:eastAsia="Times New Roman" w:cs="Arial"/>
          <w:bCs/>
          <w:lang w:val="ro-RO"/>
        </w:rPr>
      </w:pPr>
      <w:r w:rsidRPr="00BE2DFA">
        <w:rPr>
          <w:rFonts w:eastAsia="Times New Roman" w:cs="Arial"/>
          <w:bCs/>
          <w:lang w:val="ro-RO"/>
        </w:rPr>
        <w:t>În vederea îmbunătățirii activităților desfășurate în acest domeniu, formulăm următoarele recomandări:</w:t>
      </w:r>
    </w:p>
    <w:p w14:paraId="61C847B2" w14:textId="65A4CE91" w:rsidR="00BE2DFA" w:rsidRPr="00BE2DFA" w:rsidRDefault="00BE2DFA" w:rsidP="00630A1B">
      <w:pPr>
        <w:ind w:left="-567"/>
        <w:rPr>
          <w:rFonts w:eastAsia="Times New Roman" w:cs="Arial"/>
          <w:bCs/>
          <w:lang w:val="ro-RO"/>
        </w:rPr>
      </w:pPr>
      <w:r w:rsidRPr="00BE2DFA">
        <w:rPr>
          <w:rFonts w:eastAsia="Times New Roman" w:cs="Arial"/>
          <w:bCs/>
          <w:lang w:val="ro-RO"/>
        </w:rPr>
        <w:t>1. Elaborarea unei proceduri de lucru pentru implementarea reglementărilor prevăzute în H.G. nr. 599/2018 privind activitatea de evaluare a riscurilor de corupție</w:t>
      </w:r>
      <w:r w:rsidR="00E83BA4">
        <w:rPr>
          <w:rFonts w:eastAsia="Times New Roman" w:cs="Arial"/>
          <w:bCs/>
          <w:lang w:val="ro-RO"/>
        </w:rPr>
        <w:t>.</w:t>
      </w:r>
    </w:p>
    <w:p w14:paraId="5B736D3A" w14:textId="41CDAA4C" w:rsidR="00BE2DFA" w:rsidRPr="00BE2DFA" w:rsidRDefault="00BE2DFA" w:rsidP="00630A1B">
      <w:pPr>
        <w:ind w:left="-567"/>
        <w:rPr>
          <w:rFonts w:eastAsia="Times New Roman" w:cs="Arial"/>
          <w:bCs/>
          <w:lang w:val="ro-RO"/>
        </w:rPr>
      </w:pPr>
      <w:r w:rsidRPr="00BE2DFA">
        <w:rPr>
          <w:rFonts w:eastAsia="Times New Roman" w:cs="Arial"/>
          <w:bCs/>
          <w:lang w:val="ro-RO"/>
        </w:rPr>
        <w:t>2. Constituirea Grupului de lucru pentru implementarea metodologiei standard de evaluare a riscurilor de corupție</w:t>
      </w:r>
      <w:r w:rsidR="00E83BA4">
        <w:rPr>
          <w:rFonts w:eastAsia="Times New Roman" w:cs="Arial"/>
          <w:bCs/>
          <w:lang w:val="ro-RO"/>
        </w:rPr>
        <w:t>.</w:t>
      </w:r>
    </w:p>
    <w:p w14:paraId="763223AE" w14:textId="2CEC66BE" w:rsidR="00BE2DFA" w:rsidRPr="00BE2DFA" w:rsidRDefault="00BE2DFA" w:rsidP="00630A1B">
      <w:pPr>
        <w:ind w:left="-567"/>
        <w:rPr>
          <w:rFonts w:eastAsia="Times New Roman" w:cs="Arial"/>
          <w:bCs/>
          <w:lang w:val="ro-RO"/>
        </w:rPr>
      </w:pPr>
      <w:r w:rsidRPr="00BE2DFA">
        <w:rPr>
          <w:rFonts w:eastAsia="Times New Roman" w:cs="Arial"/>
          <w:bCs/>
          <w:lang w:val="ro-RO"/>
        </w:rPr>
        <w:t>3. Reevaluarea temeinică a riscurilor de corupție de către Grupul de lucru astfel constituit și actualizarea Registrului aferent</w:t>
      </w:r>
      <w:r w:rsidR="00E83BA4">
        <w:rPr>
          <w:rFonts w:eastAsia="Times New Roman" w:cs="Arial"/>
          <w:bCs/>
          <w:lang w:val="ro-RO"/>
        </w:rPr>
        <w:t>.</w:t>
      </w:r>
    </w:p>
    <w:p w14:paraId="7C8FD3B3" w14:textId="6FFD5B14" w:rsidR="00BE2DFA" w:rsidRPr="00BE2DFA" w:rsidRDefault="00BE2DFA" w:rsidP="00630A1B">
      <w:pPr>
        <w:ind w:left="-567"/>
        <w:rPr>
          <w:rFonts w:eastAsia="Times New Roman" w:cs="Arial"/>
          <w:bCs/>
          <w:lang w:val="ro-RO"/>
        </w:rPr>
      </w:pPr>
      <w:r w:rsidRPr="00BE2DFA">
        <w:rPr>
          <w:rFonts w:eastAsia="Times New Roman" w:cs="Arial"/>
          <w:bCs/>
          <w:lang w:val="ro-RO"/>
        </w:rPr>
        <w:t>4. Revizuirea Planului de integritate raportat la actualizarea Registrului riscurilor de corupție</w:t>
      </w:r>
      <w:r w:rsidR="00E83BA4">
        <w:rPr>
          <w:rFonts w:eastAsia="Times New Roman" w:cs="Arial"/>
          <w:bCs/>
          <w:lang w:val="ro-RO"/>
        </w:rPr>
        <w:t>.</w:t>
      </w:r>
    </w:p>
    <w:p w14:paraId="34B98638" w14:textId="77777777" w:rsidR="00BE2DFA" w:rsidRPr="00BE2DFA" w:rsidRDefault="00BE2DFA" w:rsidP="00630A1B">
      <w:pPr>
        <w:ind w:left="-567"/>
        <w:rPr>
          <w:rFonts w:eastAsia="Times New Roman" w:cs="Arial"/>
          <w:bCs/>
          <w:lang w:val="ro-RO"/>
        </w:rPr>
      </w:pPr>
      <w:r w:rsidRPr="00BE2DFA">
        <w:rPr>
          <w:rFonts w:eastAsia="Times New Roman" w:cs="Arial"/>
          <w:bCs/>
          <w:lang w:val="ro-RO"/>
        </w:rPr>
        <w:t>5. Corelarea riscurilor reglementate de art. 5 din O.S.G.G. nr. 600/2018 la nivelul instituției cu cele existente în Registrul riscurilor de corupție.</w:t>
      </w:r>
    </w:p>
    <w:p w14:paraId="4C5EE67D" w14:textId="0C06EFAA" w:rsidR="00BE2DFA" w:rsidRPr="00BE2DFA" w:rsidRDefault="00BE2DFA" w:rsidP="00630A1B">
      <w:pPr>
        <w:ind w:left="-567"/>
        <w:rPr>
          <w:rFonts w:eastAsia="Times New Roman" w:cs="Arial"/>
          <w:bCs/>
          <w:lang w:val="ro-RO"/>
        </w:rPr>
      </w:pPr>
      <w:r w:rsidRPr="00BE2DFA">
        <w:rPr>
          <w:rFonts w:eastAsia="Times New Roman" w:cs="Arial"/>
          <w:bCs/>
          <w:lang w:val="ro-RO"/>
        </w:rPr>
        <w:t>6. Desemnarea prin decizie a conducătorului instituției a tuturor persoanelor responsabile de diferite zone de acțiune referitoare la standardele anticorupție (consilier responsabil pentru implementarea metodologiei de evaluare a incidentelor de integritate, consilier responsabil cu implementarea SNA, pentru asigurarea îndeplinirii corespunzătoare și diviziunii muncii și a eficiente, dublată de introducerea în fișa postului acestora a atribuțiilor necesare pentru asigurarea implementării prevederilor legale privind procedurile pentru care au fost desemnate</w:t>
      </w:r>
      <w:r w:rsidR="00E83BA4">
        <w:rPr>
          <w:rFonts w:eastAsia="Times New Roman" w:cs="Arial"/>
          <w:bCs/>
          <w:lang w:val="ro-RO"/>
        </w:rPr>
        <w:t>.</w:t>
      </w:r>
    </w:p>
    <w:p w14:paraId="6FBD2292" w14:textId="3A17A7B1" w:rsidR="00BE2DFA" w:rsidRPr="00BE2DFA" w:rsidRDefault="00BE2DFA" w:rsidP="00630A1B">
      <w:pPr>
        <w:ind w:left="-567"/>
        <w:rPr>
          <w:rFonts w:eastAsia="Times New Roman" w:cs="Arial"/>
          <w:bCs/>
          <w:lang w:val="ro-RO"/>
        </w:rPr>
      </w:pPr>
      <w:r w:rsidRPr="00BE2DFA">
        <w:rPr>
          <w:rFonts w:eastAsia="Times New Roman" w:cs="Arial"/>
          <w:bCs/>
          <w:lang w:val="ro-RO"/>
        </w:rPr>
        <w:t xml:space="preserve">7. Elaborarea de proceduri cel puțin privind avertizarea în interes public și protecția avertizorilor, funcțiile sensibile (prevăzute </w:t>
      </w:r>
      <w:r w:rsidRPr="00BE2DFA">
        <w:rPr>
          <w:rFonts w:eastAsia="Times New Roman" w:cs="Arial"/>
          <w:bCs/>
          <w:i/>
          <w:lang w:val="ro-RO"/>
        </w:rPr>
        <w:t>in extenso</w:t>
      </w:r>
      <w:r w:rsidRPr="00BE2DFA">
        <w:rPr>
          <w:rFonts w:eastAsia="Times New Roman" w:cs="Arial"/>
          <w:bCs/>
          <w:lang w:val="ro-RO"/>
        </w:rPr>
        <w:t xml:space="preserve"> în Anexa nr. 3 din H.G. nr. 1269/2021), înregistrarea, primirea și expedierea corespondenței, actualizarea și verificarea respectării procedurii de sistem (PS) privind exercitarea controlului financiar preventiv propriu</w:t>
      </w:r>
      <w:r w:rsidR="00E83BA4">
        <w:rPr>
          <w:rFonts w:eastAsia="Times New Roman" w:cs="Arial"/>
          <w:bCs/>
          <w:lang w:val="ro-RO"/>
        </w:rPr>
        <w:t>.</w:t>
      </w:r>
    </w:p>
    <w:p w14:paraId="45E44116" w14:textId="77777777" w:rsidR="00BE2DFA" w:rsidRPr="00BE2DFA" w:rsidRDefault="00BE2DFA" w:rsidP="00630A1B">
      <w:pPr>
        <w:ind w:left="-567"/>
        <w:rPr>
          <w:rFonts w:eastAsia="Times New Roman" w:cs="Arial"/>
          <w:bCs/>
          <w:lang w:val="ro-RO"/>
        </w:rPr>
      </w:pPr>
      <w:r w:rsidRPr="00BE2DFA">
        <w:rPr>
          <w:rFonts w:eastAsia="Times New Roman" w:cs="Arial"/>
          <w:bCs/>
          <w:lang w:val="ro-RO"/>
        </w:rPr>
        <w:t>8. Realizarea unor activități/sesiuni de informare/pregătire profesională a personalului propriu în ceea ce privește evaluarea și analiza riscurilor de corupție, avertizarea în interes public, prin invitarea unor specialiști în domeniu sau prin solicitarea de sprijin, dacă se apreciază necesar, din partea ANI, MAI-DGA și/sau MJ.</w:t>
      </w:r>
    </w:p>
    <w:p w14:paraId="1D7B7644" w14:textId="77777777" w:rsidR="00E83BA4" w:rsidRPr="00BE2DFA" w:rsidRDefault="00E83BA4" w:rsidP="00630A1B">
      <w:pPr>
        <w:ind w:left="-567"/>
        <w:rPr>
          <w:rFonts w:eastAsia="Times New Roman" w:cs="Arial"/>
          <w:bCs/>
          <w:lang w:val="ro-RO"/>
        </w:rPr>
      </w:pPr>
    </w:p>
    <w:p w14:paraId="387CF9E6" w14:textId="77777777" w:rsidR="00BE2DFA" w:rsidRPr="00BE2DFA" w:rsidRDefault="00BE2DFA" w:rsidP="00630A1B">
      <w:pPr>
        <w:numPr>
          <w:ilvl w:val="0"/>
          <w:numId w:val="7"/>
        </w:numPr>
        <w:spacing w:before="120"/>
        <w:ind w:left="-567" w:firstLine="0"/>
        <w:rPr>
          <w:rFonts w:eastAsia="Times New Roman"/>
          <w:b/>
          <w:bCs/>
          <w:shd w:val="clear" w:color="auto" w:fill="FFFFFF"/>
          <w:lang w:val="ro-RO"/>
        </w:rPr>
      </w:pPr>
      <w:r w:rsidRPr="00BE2DFA">
        <w:rPr>
          <w:rFonts w:eastAsia="Times New Roman" w:cs="Arial"/>
          <w:b/>
          <w:bCs/>
          <w:lang w:val="ro-RO"/>
        </w:rPr>
        <w:t xml:space="preserve">EVALUAREA INCIDENTELOR DE INTEGRITATE ÎN CADRUL AUTORITĂȚILOR ȘI INSTITUȚIILOR PUBLICE CENTRALE ȘI LOCALE </w:t>
      </w:r>
    </w:p>
    <w:p w14:paraId="2D8BAD85" w14:textId="77777777"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În vederea îmbunătățirii activităților desfășurate în acest domeniu, formulăm următoarele recomandări:</w:t>
      </w:r>
    </w:p>
    <w:p w14:paraId="628C8D4C" w14:textId="3C8B1A74" w:rsidR="00BE2DFA" w:rsidRPr="00BE2DFA" w:rsidRDefault="00BE2DFA" w:rsidP="00630A1B">
      <w:pPr>
        <w:ind w:left="-567"/>
        <w:rPr>
          <w:rFonts w:eastAsia="Times New Roman" w:cs="Arial"/>
          <w:bCs/>
          <w:lang w:val="ro-RO"/>
        </w:rPr>
      </w:pPr>
      <w:r w:rsidRPr="00BE2DFA">
        <w:rPr>
          <w:rFonts w:eastAsia="Times New Roman"/>
          <w:bCs/>
          <w:shd w:val="clear" w:color="auto" w:fill="FFFFFF"/>
          <w:lang w:val="ro-RO"/>
        </w:rPr>
        <w:t xml:space="preserve">1. </w:t>
      </w:r>
      <w:r w:rsidRPr="00BE2DFA">
        <w:rPr>
          <w:rFonts w:eastAsia="Times New Roman" w:cs="Arial"/>
          <w:bCs/>
          <w:lang w:val="ro-RO"/>
        </w:rPr>
        <w:t>Elaborarea unor proceduri de lucru referitoare la gestionarea incidentelor de integritate</w:t>
      </w:r>
      <w:r w:rsidR="00E83BA4">
        <w:rPr>
          <w:rFonts w:eastAsia="Times New Roman" w:cs="Arial"/>
          <w:bCs/>
          <w:lang w:val="ro-RO"/>
        </w:rPr>
        <w:t>.</w:t>
      </w:r>
    </w:p>
    <w:p w14:paraId="45158F79" w14:textId="57DD8752"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 xml:space="preserve">2. Adoptarea unor măsuri specifice și eficiente în ceea ce privește avertizările în interes public, în special prin: desemnarea unei persoane sau a unei structuri responsabile cu primirea și soluționarea avertizărilor în interes public, inclusiv prin crearea unui canal de raportare clar definit; precizarea protecției identității avertizorilor de integritate; soluționarea pe fond a sesizărilor; organizarea și efectuarea unei sesiuni de informare cu angajații instituției privind </w:t>
      </w:r>
      <w:r w:rsidRPr="00BE2DFA">
        <w:rPr>
          <w:rFonts w:eastAsia="Times New Roman"/>
          <w:bCs/>
          <w:shd w:val="clear" w:color="auto" w:fill="FFFFFF"/>
          <w:lang w:val="ro-RO"/>
        </w:rPr>
        <w:lastRenderedPageBreak/>
        <w:t>legislația în domeniul protecției avertizorului în interes public; verificarea gradului de cunoaștere/aprofundare a legislației și adoptarea unor măsuri de îmbunătățire a gradului de cunoaștere, dacă sunt necesare</w:t>
      </w:r>
      <w:r w:rsidR="00E83BA4">
        <w:rPr>
          <w:rFonts w:eastAsia="Times New Roman"/>
          <w:bCs/>
          <w:shd w:val="clear" w:color="auto" w:fill="FFFFFF"/>
          <w:lang w:val="ro-RO"/>
        </w:rPr>
        <w:t xml:space="preserve">. </w:t>
      </w:r>
    </w:p>
    <w:p w14:paraId="672E0041" w14:textId="1DB35EFA" w:rsidR="00BE2DFA" w:rsidRPr="00BE2DFA" w:rsidRDefault="00BE2DFA" w:rsidP="00630A1B">
      <w:pPr>
        <w:ind w:left="-567"/>
        <w:rPr>
          <w:rFonts w:eastAsia="Times New Roman" w:cs="Arial"/>
          <w:bCs/>
          <w:lang w:val="ro-RO"/>
        </w:rPr>
      </w:pPr>
      <w:r w:rsidRPr="00BE2DFA">
        <w:rPr>
          <w:rFonts w:eastAsia="Times New Roman"/>
          <w:bCs/>
          <w:shd w:val="clear" w:color="auto" w:fill="FFFFFF"/>
          <w:lang w:val="ro-RO"/>
        </w:rPr>
        <w:t xml:space="preserve">3. </w:t>
      </w:r>
      <w:r w:rsidRPr="00BE2DFA">
        <w:rPr>
          <w:rFonts w:eastAsia="Times New Roman" w:cs="Arial"/>
          <w:bCs/>
          <w:lang w:val="ro-RO"/>
        </w:rPr>
        <w:t>Elaborarea unei proceduri de lucru interne referitoare la activitățile, acțiunile și canalele de comunicare internă și externă</w:t>
      </w:r>
      <w:r w:rsidR="00E83BA4">
        <w:rPr>
          <w:rFonts w:eastAsia="Times New Roman" w:cs="Arial"/>
          <w:bCs/>
          <w:lang w:val="ro-RO"/>
        </w:rPr>
        <w:t xml:space="preserve">. </w:t>
      </w:r>
    </w:p>
    <w:p w14:paraId="6ACC9BA5" w14:textId="1DBC6E0F"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4. Asigurarea cadrului necesar ca persoanele responsabile cu implementarea/monitorizarea aspectelor de integritate să participe la programe de pregătire profesională corespunzătoare</w:t>
      </w:r>
      <w:r w:rsidR="00E83BA4">
        <w:rPr>
          <w:rFonts w:eastAsia="Times New Roman"/>
          <w:bCs/>
          <w:shd w:val="clear" w:color="auto" w:fill="FFFFFF"/>
          <w:lang w:val="ro-RO"/>
        </w:rPr>
        <w:t xml:space="preserve">. </w:t>
      </w:r>
    </w:p>
    <w:p w14:paraId="467C0792" w14:textId="77777777"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5. Organizarea și realizarea unei sesiuni de informare privind legislația în domeniul protecției avertizorului în interes public, precum și cu referire la prevederile procedurilor interne în domeniu, cu întreg personalul și verificarea gradului de cunoaștere/aprofundare a legislației și procedurii (după elaborarea acesteia), eventual prin aplicarea unor chestionare de evaluare și adoptarea unor măsuri de îmbunătățire a gradului de cunoaștere, dacă sunt necesare.</w:t>
      </w:r>
    </w:p>
    <w:p w14:paraId="1F3B44FB" w14:textId="77777777" w:rsidR="00BE2DFA" w:rsidRPr="00BE2DFA" w:rsidRDefault="00BE2DFA" w:rsidP="00630A1B">
      <w:pPr>
        <w:ind w:left="-567"/>
        <w:rPr>
          <w:rFonts w:eastAsia="Times New Roman"/>
          <w:bCs/>
          <w:shd w:val="clear" w:color="auto" w:fill="FFFFFF"/>
          <w:lang w:val="ro-RO"/>
        </w:rPr>
      </w:pPr>
    </w:p>
    <w:p w14:paraId="3FD21BF6" w14:textId="77777777" w:rsidR="00BE2DFA" w:rsidRPr="00BE2DFA" w:rsidRDefault="00BE2DFA" w:rsidP="00630A1B">
      <w:pPr>
        <w:numPr>
          <w:ilvl w:val="0"/>
          <w:numId w:val="7"/>
        </w:numPr>
        <w:spacing w:before="120"/>
        <w:ind w:left="-567" w:firstLine="0"/>
        <w:rPr>
          <w:rFonts w:eastAsia="Times New Roman"/>
          <w:b/>
          <w:bCs/>
          <w:shd w:val="clear" w:color="auto" w:fill="FFFFFF"/>
          <w:lang w:val="ro-RO"/>
        </w:rPr>
      </w:pPr>
      <w:r w:rsidRPr="00BE2DFA">
        <w:rPr>
          <w:rFonts w:eastAsia="Times New Roman" w:cs="Arial"/>
          <w:b/>
          <w:bCs/>
          <w:lang w:val="ro-RO"/>
        </w:rPr>
        <w:t>G</w:t>
      </w:r>
      <w:r w:rsidRPr="00BE2DFA">
        <w:rPr>
          <w:rFonts w:eastAsia="Calibri" w:cs="Arial"/>
          <w:b/>
          <w:bCs/>
          <w:szCs w:val="24"/>
          <w:lang w:val="ro-RO"/>
        </w:rPr>
        <w:t>ESTIONAREA</w:t>
      </w:r>
      <w:r w:rsidRPr="00BE2DFA">
        <w:rPr>
          <w:rFonts w:eastAsia="Calibri"/>
          <w:b/>
          <w:bCs/>
          <w:szCs w:val="24"/>
          <w:lang w:val="ro-RO"/>
        </w:rPr>
        <w:t xml:space="preserve"> MECANISMULUI DE IMPLEMENTARE A SNA DE CĂTRE INSTITUȚIILE PUBLICE (INCLUSIV ÎNTREPRINDERI PUBLICE)</w:t>
      </w:r>
    </w:p>
    <w:p w14:paraId="7A8790D8" w14:textId="77777777"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În vederea îmbunătățirii activităților desfășurate în acest domeniu, formulăm următoarele recomandări:</w:t>
      </w:r>
    </w:p>
    <w:p w14:paraId="3DCC9E90" w14:textId="34F590CA" w:rsidR="00BE2DFA" w:rsidRPr="00BE2DFA" w:rsidRDefault="00BE2DFA" w:rsidP="00630A1B">
      <w:pPr>
        <w:ind w:left="-567"/>
        <w:rPr>
          <w:rFonts w:eastAsia="Times New Roman" w:cs="Arial"/>
          <w:bCs/>
          <w:lang w:val="ro-RO"/>
        </w:rPr>
      </w:pPr>
      <w:r w:rsidRPr="00BE2DFA">
        <w:rPr>
          <w:rFonts w:eastAsia="Times New Roman"/>
          <w:bCs/>
          <w:shd w:val="clear" w:color="auto" w:fill="FFFFFF"/>
          <w:lang w:val="ro-RO"/>
        </w:rPr>
        <w:t xml:space="preserve">1. </w:t>
      </w:r>
      <w:r w:rsidRPr="00BE2DFA">
        <w:rPr>
          <w:rFonts w:eastAsia="Times New Roman" w:cs="Arial"/>
          <w:bCs/>
          <w:lang w:val="ro-RO"/>
        </w:rPr>
        <w:t>Desemnarea prin decizie a conducătorului instituției a consilierului responsabil  de coordonarea implementării SNA, dacă este posibil, distinct de persoana consilierului de etică, pentru asigurarea diviziunii muncii și a eficientizării acesteia, dublată de introducerea în fișa postului acestora a atribuțiilor necesare pentru asigurarea implementării prevederilor legale privind procedurile pentru care a fost desemnat</w:t>
      </w:r>
      <w:r w:rsidR="00E83BA4">
        <w:rPr>
          <w:rFonts w:eastAsia="Times New Roman" w:cs="Arial"/>
          <w:bCs/>
          <w:lang w:val="ro-RO"/>
        </w:rPr>
        <w:t>.</w:t>
      </w:r>
    </w:p>
    <w:p w14:paraId="6DEBC9F5" w14:textId="56DD1A41"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2. Identificarea și alocarea de resurse suficiente (umane, materiale și financiare), prin efectuarea unor demersuri specifice de evaluare în vederea eficientizării și profesionalizării activității personalului existent, demersurile putând fi făcute inclusiv la nivelul instituției supraordonate</w:t>
      </w:r>
      <w:r w:rsidR="00E83BA4">
        <w:rPr>
          <w:rFonts w:eastAsia="Times New Roman"/>
          <w:bCs/>
          <w:shd w:val="clear" w:color="auto" w:fill="FFFFFF"/>
          <w:lang w:val="ro-RO"/>
        </w:rPr>
        <w:t>.</w:t>
      </w:r>
    </w:p>
    <w:p w14:paraId="09AFBF6F" w14:textId="41430FCA" w:rsidR="00BE2DFA" w:rsidRPr="00BE2DFA" w:rsidRDefault="00BE2DFA" w:rsidP="00630A1B">
      <w:pPr>
        <w:ind w:left="-567"/>
        <w:rPr>
          <w:rFonts w:eastAsia="Times New Roman" w:cs="Arial"/>
          <w:bCs/>
          <w:lang w:val="ro-RO"/>
        </w:rPr>
      </w:pPr>
      <w:r w:rsidRPr="00BE2DFA">
        <w:rPr>
          <w:rFonts w:eastAsia="Times New Roman" w:cs="Arial"/>
          <w:bCs/>
          <w:lang w:val="ro-RO"/>
        </w:rPr>
        <w:t>3. Actualizarea, și după caz, elaborarea procedurilor operaționale referitoare la implementarea standardelor prevăzute în extenso în Anexa nr. 3 din H.G. nr. 1269/2021, precum și luarea unor măsuri specifice evitării supra-</w:t>
      </w:r>
      <w:proofErr w:type="spellStart"/>
      <w:r w:rsidRPr="00BE2DFA">
        <w:rPr>
          <w:rFonts w:eastAsia="Times New Roman" w:cs="Arial"/>
          <w:bCs/>
          <w:lang w:val="ro-RO"/>
        </w:rPr>
        <w:t>procedurizării</w:t>
      </w:r>
      <w:proofErr w:type="spellEnd"/>
      <w:r w:rsidRPr="00BE2DFA">
        <w:rPr>
          <w:rFonts w:eastAsia="Times New Roman" w:cs="Arial"/>
          <w:bCs/>
          <w:lang w:val="ro-RO"/>
        </w:rPr>
        <w:t xml:space="preserve"> activității instituționale</w:t>
      </w:r>
      <w:r w:rsidR="00E83BA4">
        <w:rPr>
          <w:rFonts w:eastAsia="Times New Roman" w:cs="Arial"/>
          <w:bCs/>
          <w:lang w:val="ro-RO"/>
        </w:rPr>
        <w:t>.</w:t>
      </w:r>
    </w:p>
    <w:p w14:paraId="364FA984" w14:textId="2EBAE2C3"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4. Asigurarea resurselor necesare implementării standardelor SNA adoptate și a documentelor necesare atingerii obiectivelor asumate, cu necesitatea urmăririi de către conducerea instituției a implementării tuturor prevederilor actelor normative din domeniul de referință și a măsurilor necesare  în vederea asigurării unui mediu de integritate ridicat</w:t>
      </w:r>
      <w:r w:rsidR="00E83BA4">
        <w:rPr>
          <w:rFonts w:eastAsia="Times New Roman"/>
          <w:bCs/>
          <w:shd w:val="clear" w:color="auto" w:fill="FFFFFF"/>
          <w:lang w:val="ro-RO"/>
        </w:rPr>
        <w:t>.</w:t>
      </w:r>
    </w:p>
    <w:p w14:paraId="2926FC87" w14:textId="77777777" w:rsidR="00BE2DFA" w:rsidRPr="00BE2DFA" w:rsidRDefault="00BE2DFA" w:rsidP="00630A1B">
      <w:pPr>
        <w:ind w:left="-567"/>
        <w:rPr>
          <w:rFonts w:eastAsia="Times New Roman"/>
          <w:bCs/>
          <w:shd w:val="clear" w:color="auto" w:fill="FFFFFF"/>
          <w:lang w:val="ro-RO"/>
        </w:rPr>
      </w:pPr>
      <w:r w:rsidRPr="00BE2DFA">
        <w:rPr>
          <w:rFonts w:eastAsia="Times New Roman"/>
          <w:bCs/>
          <w:shd w:val="clear" w:color="auto" w:fill="FFFFFF"/>
          <w:lang w:val="ro-RO"/>
        </w:rPr>
        <w:t>5. Respectarea standardelor referitoare la transparența instituțională și publicarea pe pagina de internet a instituției a documentelor și informațiilor în format deschis privitoare la raportul anual de activitate, centralizatorul achizițiilor publice, execuție bugetară, bilanțuri contabile, a CV-urilor, raportul anual privind implementarea Legii nr. 544/2001 privind liberul acces la informații de interes public, raportul privind stadiul implementării măsurilor prevăzute de SNA și de Planul de integritate, pentru a facilita inclusiv verificarea și analiza acestor informații – a se avea în vedere Standardele generale de publicare a informațiilor de interes public prevăzute de Anexa nr. 4 din H.G. nr. 1269/2021.</w:t>
      </w:r>
    </w:p>
    <w:p w14:paraId="57B29D22" w14:textId="77777777" w:rsidR="00BE2DFA" w:rsidRPr="00BE2DFA" w:rsidRDefault="00BE2DFA" w:rsidP="00630A1B">
      <w:pPr>
        <w:ind w:left="-567"/>
        <w:contextualSpacing/>
        <w:rPr>
          <w:rFonts w:eastAsia="Times New Roman" w:cs="Arial"/>
          <w:b/>
          <w:lang w:val="ro-RO"/>
        </w:rPr>
      </w:pPr>
    </w:p>
    <w:p w14:paraId="1C08C572" w14:textId="77777777" w:rsidR="00FF554B" w:rsidRPr="004E3089" w:rsidRDefault="00FF554B" w:rsidP="00630A1B">
      <w:pPr>
        <w:spacing w:before="120"/>
        <w:ind w:left="-567"/>
      </w:pPr>
    </w:p>
    <w:sectPr w:rsidR="00FF554B" w:rsidRPr="004E3089" w:rsidSect="00B43D8D">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E70D5" w14:textId="77777777" w:rsidR="00ED6E98" w:rsidRDefault="00ED6E98" w:rsidP="00CD5B3B">
      <w:r>
        <w:separator/>
      </w:r>
    </w:p>
  </w:endnote>
  <w:endnote w:type="continuationSeparator" w:id="0">
    <w:p w14:paraId="196CC792" w14:textId="77777777" w:rsidR="00ED6E98" w:rsidRDefault="00ED6E9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5C3116E3"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F343B6">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0131D5">
            <w:rPr>
              <w:noProof/>
              <w:sz w:val="14"/>
              <w:szCs w:val="14"/>
              <w:lang w:val="es-ES"/>
            </w:rPr>
            <w:t>15</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3"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ED6E98"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3"/>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FB1E0" w14:textId="77777777" w:rsidR="00ED6E98" w:rsidRDefault="00ED6E98" w:rsidP="00871565">
      <w:pPr>
        <w:spacing w:after="0"/>
        <w:ind w:left="0"/>
      </w:pPr>
      <w:r>
        <w:separator/>
      </w:r>
    </w:p>
  </w:footnote>
  <w:footnote w:type="continuationSeparator" w:id="0">
    <w:p w14:paraId="68AF25BA" w14:textId="77777777" w:rsidR="00ED6E98" w:rsidRDefault="00ED6E98" w:rsidP="00871565">
      <w:pPr>
        <w:ind w:left="0"/>
      </w:pPr>
      <w:r>
        <w:continuationSeparator/>
      </w:r>
    </w:p>
  </w:footnote>
  <w:footnote w:type="continuationNotice" w:id="1">
    <w:p w14:paraId="225D6B59" w14:textId="77777777" w:rsidR="00ED6E98" w:rsidRDefault="00ED6E98" w:rsidP="00871565">
      <w:pPr>
        <w:spacing w:after="0" w:line="240" w:lineRule="auto"/>
        <w:ind w:left="0"/>
      </w:pPr>
    </w:p>
  </w:footnote>
  <w:footnote w:id="2">
    <w:p w14:paraId="15EAD84E" w14:textId="77777777" w:rsidR="00BE2DFA" w:rsidRPr="000C0CE1" w:rsidRDefault="00BE2DFA" w:rsidP="00E83BA4">
      <w:pPr>
        <w:pStyle w:val="FootnoteText"/>
        <w:spacing w:line="240" w:lineRule="auto"/>
        <w:rPr>
          <w:sz w:val="18"/>
          <w:lang w:val="ro-RO"/>
        </w:rPr>
      </w:pPr>
      <w:r w:rsidRPr="000C0CE1">
        <w:rPr>
          <w:rStyle w:val="FootnoteReference"/>
          <w:sz w:val="18"/>
          <w:lang w:val="ro-RO"/>
        </w:rPr>
        <w:footnoteRef/>
      </w:r>
      <w:r w:rsidRPr="000C0CE1">
        <w:rPr>
          <w:sz w:val="18"/>
          <w:lang w:val="ro-RO"/>
        </w:rPr>
        <w:t xml:space="preserve"> Ordonanța Guvernului nr. 21/2007 privind instituțiile și companiile de spectacole sau concerte, precum și desfășurarea activității de impresariat artistic, aprobată cu modificări și completări prin Legea nr. 353/2007;</w:t>
      </w:r>
    </w:p>
    <w:p w14:paraId="6D78EADF" w14:textId="77777777" w:rsidR="00BE2DFA" w:rsidRPr="000C0CE1" w:rsidRDefault="00BE2DFA" w:rsidP="00E83BA4">
      <w:pPr>
        <w:pStyle w:val="FootnoteText"/>
        <w:spacing w:line="240" w:lineRule="auto"/>
        <w:rPr>
          <w:rFonts w:cs="Arial"/>
          <w:bCs/>
          <w:sz w:val="18"/>
          <w:szCs w:val="22"/>
          <w:lang w:val="ro-RO"/>
        </w:rPr>
      </w:pPr>
      <w:r w:rsidRPr="000C0CE1">
        <w:rPr>
          <w:sz w:val="18"/>
          <w:lang w:val="ro-RO"/>
        </w:rPr>
        <w:t xml:space="preserve">Hotărârea Guvernului nr. 803/2005 privind stabilirea unor măsuri pentru organizarea și funcționarea Teatrului Național </w:t>
      </w:r>
      <w:r w:rsidRPr="000C0CE1">
        <w:rPr>
          <w:rFonts w:cs="Arial"/>
          <w:bCs/>
          <w:sz w:val="18"/>
          <w:szCs w:val="22"/>
          <w:lang w:val="ro-RO"/>
        </w:rPr>
        <w:t>„I.L. Caragiale” din București, cu modificările și completările ulterioare;</w:t>
      </w:r>
    </w:p>
    <w:p w14:paraId="52D7523D" w14:textId="77777777" w:rsidR="00BE2DFA" w:rsidRPr="000C0CE1" w:rsidRDefault="00BE2DFA" w:rsidP="00E83BA4">
      <w:pPr>
        <w:pStyle w:val="FootnoteText"/>
        <w:spacing w:line="240" w:lineRule="auto"/>
        <w:rPr>
          <w:lang w:val="ro-RO"/>
        </w:rPr>
      </w:pPr>
      <w:r w:rsidRPr="000C0CE1">
        <w:rPr>
          <w:sz w:val="18"/>
          <w:lang w:val="ro-RO"/>
        </w:rPr>
        <w:t>Hotărârea Guvernului nr. 90/2010 privind organizarea și funcționarea Ministerului Culturii, cu modificările și completările ulterioare.</w:t>
      </w:r>
    </w:p>
  </w:footnote>
  <w:footnote w:id="3">
    <w:p w14:paraId="297AD749" w14:textId="77777777" w:rsidR="00BE2DFA" w:rsidRPr="00113171" w:rsidRDefault="00BE2DFA" w:rsidP="00E83BA4">
      <w:pPr>
        <w:pStyle w:val="FootnoteText"/>
        <w:spacing w:line="240" w:lineRule="auto"/>
        <w:rPr>
          <w:lang w:val="ro-RO"/>
        </w:rPr>
      </w:pPr>
      <w:r w:rsidRPr="00113171">
        <w:rPr>
          <w:rStyle w:val="FootnoteReference"/>
          <w:sz w:val="18"/>
        </w:rPr>
        <w:footnoteRef/>
      </w:r>
      <w:r w:rsidRPr="00113171">
        <w:rPr>
          <w:sz w:val="18"/>
        </w:rPr>
        <w:t xml:space="preserve"> </w:t>
      </w:r>
      <w:r w:rsidRPr="00113171">
        <w:rPr>
          <w:sz w:val="18"/>
          <w:lang w:val="ro-RO"/>
        </w:rPr>
        <w:t xml:space="preserve">Fără să fi fost desemnată în mod formal prin decizie a conducătorului instituției. </w:t>
      </w:r>
      <w:r>
        <w:rPr>
          <w:sz w:val="18"/>
          <w:lang w:val="ro-RO"/>
        </w:rPr>
        <w:t xml:space="preserve">Potrivit informațiilor transmise de către reprezentanții TNB ulterior vizitei de evaluare, la data </w:t>
      </w:r>
      <w:r w:rsidRPr="0065489E">
        <w:rPr>
          <w:sz w:val="18"/>
          <w:lang w:val="ro-RO"/>
        </w:rPr>
        <w:t xml:space="preserve">de 24.07.2023 a fost angajată o persoană </w:t>
      </w:r>
      <w:r>
        <w:rPr>
          <w:sz w:val="18"/>
          <w:lang w:val="ro-RO"/>
        </w:rPr>
        <w:t xml:space="preserve">care a fost desemnată persoană </w:t>
      </w:r>
      <w:r w:rsidRPr="0065489E">
        <w:rPr>
          <w:sz w:val="18"/>
          <w:lang w:val="ro-RO"/>
        </w:rPr>
        <w:t>responsabil</w:t>
      </w:r>
      <w:r>
        <w:rPr>
          <w:sz w:val="18"/>
          <w:lang w:val="ro-RO"/>
        </w:rPr>
        <w:t>ă</w:t>
      </w:r>
      <w:r w:rsidRPr="0065489E">
        <w:rPr>
          <w:sz w:val="18"/>
          <w:lang w:val="ro-RO"/>
        </w:rPr>
        <w:t xml:space="preserve"> cu implementarea Strategiei Naționale Anticorupție</w:t>
      </w:r>
      <w:r>
        <w:rPr>
          <w:sz w:val="18"/>
          <w:lang w:val="ro-RO"/>
        </w:rPr>
        <w:t xml:space="preserve">. </w:t>
      </w:r>
    </w:p>
  </w:footnote>
  <w:footnote w:id="4">
    <w:p w14:paraId="68A1DF4A" w14:textId="77777777" w:rsidR="00BE2DFA" w:rsidRPr="00113171" w:rsidRDefault="00BE2DFA" w:rsidP="00E83BA4">
      <w:pPr>
        <w:pStyle w:val="FootnoteText"/>
        <w:spacing w:line="240" w:lineRule="auto"/>
        <w:rPr>
          <w:lang w:val="ro-RO"/>
        </w:rPr>
      </w:pPr>
      <w:r w:rsidRPr="00113171">
        <w:rPr>
          <w:rStyle w:val="FootnoteReference"/>
          <w:sz w:val="18"/>
        </w:rPr>
        <w:footnoteRef/>
      </w:r>
      <w:r w:rsidRPr="00113171">
        <w:rPr>
          <w:sz w:val="18"/>
        </w:rPr>
        <w:t xml:space="preserve"> </w:t>
      </w:r>
      <w:r w:rsidRPr="00113171">
        <w:rPr>
          <w:sz w:val="18"/>
          <w:lang w:val="ro-RO"/>
        </w:rPr>
        <w:t xml:space="preserve">Potrivit informațiilor comunicate de reprezentanții TNB ulterior vizitei de evaluare, </w:t>
      </w:r>
      <w:r>
        <w:rPr>
          <w:sz w:val="18"/>
          <w:lang w:val="ro-RO"/>
        </w:rPr>
        <w:t xml:space="preserve">au fost </w:t>
      </w:r>
      <w:r w:rsidRPr="00113171">
        <w:rPr>
          <w:sz w:val="18"/>
          <w:lang w:val="ro-RO"/>
        </w:rPr>
        <w:t xml:space="preserve">create adrese de email </w:t>
      </w:r>
      <w:r>
        <w:rPr>
          <w:sz w:val="18"/>
          <w:lang w:val="ro-RO"/>
        </w:rPr>
        <w:t>pentru lucrătorii din cadrul s</w:t>
      </w:r>
      <w:r w:rsidRPr="00113171">
        <w:rPr>
          <w:sz w:val="18"/>
          <w:lang w:val="ro-RO"/>
        </w:rPr>
        <w:t>ervicii</w:t>
      </w:r>
      <w:r>
        <w:rPr>
          <w:sz w:val="18"/>
          <w:lang w:val="ro-RO"/>
        </w:rPr>
        <w:t xml:space="preserve">lor, departamentelor și birourilor din organigrama TNB, acestea fiind utilizate în activitatea curentă.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6B0C"/>
    <w:multiLevelType w:val="hybridMultilevel"/>
    <w:tmpl w:val="FC4A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4479D"/>
    <w:multiLevelType w:val="hybridMultilevel"/>
    <w:tmpl w:val="E88C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DC2479"/>
    <w:multiLevelType w:val="hybridMultilevel"/>
    <w:tmpl w:val="B5B0CF54"/>
    <w:lvl w:ilvl="0" w:tplc="9FF89786">
      <w:start w:val="1"/>
      <w:numFmt w:val="decimal"/>
      <w:pStyle w:val="chestionarnumbering"/>
      <w:lvlText w:val="%1."/>
      <w:lvlJc w:val="left"/>
      <w:pPr>
        <w:ind w:left="1080" w:hanging="720"/>
      </w:pPr>
      <w:rPr>
        <w:rFonts w:hint="default"/>
      </w:rPr>
    </w:lvl>
    <w:lvl w:ilvl="1" w:tplc="5F70BFBA">
      <w:start w:val="1"/>
      <w:numFmt w:val="bullet"/>
      <w:lvlText w:val="•"/>
      <w:lvlJc w:val="left"/>
      <w:pPr>
        <w:ind w:left="1800" w:hanging="720"/>
      </w:pPr>
      <w:rPr>
        <w:rFonts w:ascii="Trebuchet MS" w:eastAsia="Calibri"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728CE"/>
    <w:multiLevelType w:val="hybridMultilevel"/>
    <w:tmpl w:val="23C0F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50A91"/>
    <w:multiLevelType w:val="hybridMultilevel"/>
    <w:tmpl w:val="47201698"/>
    <w:lvl w:ilvl="0" w:tplc="1A3019AC">
      <w:start w:val="2"/>
      <w:numFmt w:val="bullet"/>
      <w:lvlText w:val="-"/>
      <w:lvlJc w:val="left"/>
      <w:pPr>
        <w:ind w:left="-207" w:hanging="360"/>
      </w:pPr>
      <w:rPr>
        <w:rFonts w:ascii="Trebuchet MS" w:eastAsia="Times New Roman" w:hAnsi="Trebuchet MS" w:cs="Arial" w:hint="default"/>
        <w:b/>
        <w:i/>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27202"/>
    <w:multiLevelType w:val="hybridMultilevel"/>
    <w:tmpl w:val="F982933A"/>
    <w:lvl w:ilvl="0" w:tplc="2200C85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3FE22DA"/>
    <w:multiLevelType w:val="hybridMultilevel"/>
    <w:tmpl w:val="835A9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5D78F9"/>
    <w:multiLevelType w:val="hybridMultilevel"/>
    <w:tmpl w:val="7D48BCCE"/>
    <w:lvl w:ilvl="0" w:tplc="2200C85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537AF8"/>
    <w:multiLevelType w:val="hybridMultilevel"/>
    <w:tmpl w:val="512A45B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45E5E"/>
    <w:multiLevelType w:val="hybridMultilevel"/>
    <w:tmpl w:val="9A02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15"/>
  </w:num>
  <w:num w:numId="6">
    <w:abstractNumId w:val="7"/>
  </w:num>
  <w:num w:numId="7">
    <w:abstractNumId w:val="9"/>
  </w:num>
  <w:num w:numId="8">
    <w:abstractNumId w:val="3"/>
  </w:num>
  <w:num w:numId="9">
    <w:abstractNumId w:val="5"/>
  </w:num>
  <w:num w:numId="10">
    <w:abstractNumId w:val="1"/>
  </w:num>
  <w:num w:numId="11">
    <w:abstractNumId w:val="12"/>
  </w:num>
  <w:num w:numId="12">
    <w:abstractNumId w:val="16"/>
  </w:num>
  <w:num w:numId="13">
    <w:abstractNumId w:val="10"/>
  </w:num>
  <w:num w:numId="14">
    <w:abstractNumId w:val="13"/>
  </w:num>
  <w:num w:numId="15">
    <w:abstractNumId w:val="0"/>
  </w:num>
  <w:num w:numId="16">
    <w:abstractNumId w:val="14"/>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31D5"/>
    <w:rsid w:val="0001515D"/>
    <w:rsid w:val="00015A95"/>
    <w:rsid w:val="0002256C"/>
    <w:rsid w:val="00023330"/>
    <w:rsid w:val="00026B77"/>
    <w:rsid w:val="0003025D"/>
    <w:rsid w:val="00036CF6"/>
    <w:rsid w:val="00054D40"/>
    <w:rsid w:val="00056BE2"/>
    <w:rsid w:val="00057A9D"/>
    <w:rsid w:val="00072D9B"/>
    <w:rsid w:val="00077157"/>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50E37"/>
    <w:rsid w:val="00161E68"/>
    <w:rsid w:val="00170786"/>
    <w:rsid w:val="001766CF"/>
    <w:rsid w:val="00180B28"/>
    <w:rsid w:val="0018375D"/>
    <w:rsid w:val="00184615"/>
    <w:rsid w:val="001A0DAC"/>
    <w:rsid w:val="001B5E0B"/>
    <w:rsid w:val="001D2C72"/>
    <w:rsid w:val="001D48E7"/>
    <w:rsid w:val="001E2215"/>
    <w:rsid w:val="001F3E11"/>
    <w:rsid w:val="002062E1"/>
    <w:rsid w:val="00212A34"/>
    <w:rsid w:val="0021417E"/>
    <w:rsid w:val="00221004"/>
    <w:rsid w:val="002317A7"/>
    <w:rsid w:val="002336CD"/>
    <w:rsid w:val="00233FC0"/>
    <w:rsid w:val="002403DB"/>
    <w:rsid w:val="00251423"/>
    <w:rsid w:val="002606B0"/>
    <w:rsid w:val="0026444E"/>
    <w:rsid w:val="002662A0"/>
    <w:rsid w:val="00267D09"/>
    <w:rsid w:val="00271C56"/>
    <w:rsid w:val="00284333"/>
    <w:rsid w:val="00295271"/>
    <w:rsid w:val="00296627"/>
    <w:rsid w:val="002A45FB"/>
    <w:rsid w:val="002A5742"/>
    <w:rsid w:val="002B2D08"/>
    <w:rsid w:val="002B67ED"/>
    <w:rsid w:val="002C0E14"/>
    <w:rsid w:val="002C1141"/>
    <w:rsid w:val="002D19CA"/>
    <w:rsid w:val="002D361E"/>
    <w:rsid w:val="002E1753"/>
    <w:rsid w:val="002F0267"/>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5FBA"/>
    <w:rsid w:val="003772FD"/>
    <w:rsid w:val="00377F07"/>
    <w:rsid w:val="00384E6F"/>
    <w:rsid w:val="003910DC"/>
    <w:rsid w:val="003C32CE"/>
    <w:rsid w:val="003E5349"/>
    <w:rsid w:val="003E750E"/>
    <w:rsid w:val="00412690"/>
    <w:rsid w:val="00412CDC"/>
    <w:rsid w:val="004170E2"/>
    <w:rsid w:val="0042171A"/>
    <w:rsid w:val="0044081B"/>
    <w:rsid w:val="00451D1A"/>
    <w:rsid w:val="00462299"/>
    <w:rsid w:val="0047115C"/>
    <w:rsid w:val="00475169"/>
    <w:rsid w:val="00476EBF"/>
    <w:rsid w:val="004827CC"/>
    <w:rsid w:val="00493AD5"/>
    <w:rsid w:val="00493DD5"/>
    <w:rsid w:val="004A4C20"/>
    <w:rsid w:val="004B48C6"/>
    <w:rsid w:val="004D0421"/>
    <w:rsid w:val="004E3089"/>
    <w:rsid w:val="004E50CD"/>
    <w:rsid w:val="004E5AE5"/>
    <w:rsid w:val="004F094D"/>
    <w:rsid w:val="004F2167"/>
    <w:rsid w:val="005123A9"/>
    <w:rsid w:val="0052637D"/>
    <w:rsid w:val="005332EE"/>
    <w:rsid w:val="0053694B"/>
    <w:rsid w:val="00536BCB"/>
    <w:rsid w:val="00540EA5"/>
    <w:rsid w:val="00543045"/>
    <w:rsid w:val="005436C0"/>
    <w:rsid w:val="005467AD"/>
    <w:rsid w:val="00550278"/>
    <w:rsid w:val="005714A5"/>
    <w:rsid w:val="005725E2"/>
    <w:rsid w:val="005836E1"/>
    <w:rsid w:val="005A2684"/>
    <w:rsid w:val="005A3D33"/>
    <w:rsid w:val="005C1393"/>
    <w:rsid w:val="005C525B"/>
    <w:rsid w:val="005C6F81"/>
    <w:rsid w:val="005D36B6"/>
    <w:rsid w:val="005D5D66"/>
    <w:rsid w:val="005E4E15"/>
    <w:rsid w:val="005E6FFA"/>
    <w:rsid w:val="005F32C6"/>
    <w:rsid w:val="00603DFF"/>
    <w:rsid w:val="00604DD4"/>
    <w:rsid w:val="0060574C"/>
    <w:rsid w:val="0061068C"/>
    <w:rsid w:val="00614109"/>
    <w:rsid w:val="00616814"/>
    <w:rsid w:val="006215B3"/>
    <w:rsid w:val="00630A1B"/>
    <w:rsid w:val="0064189F"/>
    <w:rsid w:val="0065125B"/>
    <w:rsid w:val="00661D2B"/>
    <w:rsid w:val="0067448C"/>
    <w:rsid w:val="00677FEB"/>
    <w:rsid w:val="00691540"/>
    <w:rsid w:val="006A018E"/>
    <w:rsid w:val="006A263E"/>
    <w:rsid w:val="006A4488"/>
    <w:rsid w:val="006A5908"/>
    <w:rsid w:val="006A68FC"/>
    <w:rsid w:val="006B528B"/>
    <w:rsid w:val="006D3E7D"/>
    <w:rsid w:val="006D7378"/>
    <w:rsid w:val="006E0A08"/>
    <w:rsid w:val="006E27F8"/>
    <w:rsid w:val="006F0C3E"/>
    <w:rsid w:val="007135D7"/>
    <w:rsid w:val="00722BEC"/>
    <w:rsid w:val="00723E30"/>
    <w:rsid w:val="00725F2C"/>
    <w:rsid w:val="00743D2D"/>
    <w:rsid w:val="007646B7"/>
    <w:rsid w:val="00766E0E"/>
    <w:rsid w:val="00784D36"/>
    <w:rsid w:val="00797C17"/>
    <w:rsid w:val="007A417C"/>
    <w:rsid w:val="007B304F"/>
    <w:rsid w:val="007E7D11"/>
    <w:rsid w:val="007F6CCF"/>
    <w:rsid w:val="00801824"/>
    <w:rsid w:val="0081010C"/>
    <w:rsid w:val="00810406"/>
    <w:rsid w:val="008231E2"/>
    <w:rsid w:val="008360E4"/>
    <w:rsid w:val="00840F14"/>
    <w:rsid w:val="008477A1"/>
    <w:rsid w:val="008601B4"/>
    <w:rsid w:val="00865A95"/>
    <w:rsid w:val="00870D7F"/>
    <w:rsid w:val="00871565"/>
    <w:rsid w:val="00871DA8"/>
    <w:rsid w:val="00875E3F"/>
    <w:rsid w:val="008777B9"/>
    <w:rsid w:val="00882074"/>
    <w:rsid w:val="008848B7"/>
    <w:rsid w:val="0088750D"/>
    <w:rsid w:val="008A1618"/>
    <w:rsid w:val="008A2AC0"/>
    <w:rsid w:val="008A4108"/>
    <w:rsid w:val="008A4458"/>
    <w:rsid w:val="008A5F1D"/>
    <w:rsid w:val="008B63B2"/>
    <w:rsid w:val="008C1365"/>
    <w:rsid w:val="008C5770"/>
    <w:rsid w:val="008D0B4C"/>
    <w:rsid w:val="008D58D8"/>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496B"/>
    <w:rsid w:val="009D6133"/>
    <w:rsid w:val="009E7609"/>
    <w:rsid w:val="009F3D06"/>
    <w:rsid w:val="00A01A2B"/>
    <w:rsid w:val="00A01D1F"/>
    <w:rsid w:val="00A13890"/>
    <w:rsid w:val="00A270EA"/>
    <w:rsid w:val="00A323AB"/>
    <w:rsid w:val="00A44202"/>
    <w:rsid w:val="00A65CE5"/>
    <w:rsid w:val="00A75794"/>
    <w:rsid w:val="00A7669D"/>
    <w:rsid w:val="00A805AA"/>
    <w:rsid w:val="00A851E9"/>
    <w:rsid w:val="00A90ADF"/>
    <w:rsid w:val="00A93FCB"/>
    <w:rsid w:val="00AB77AC"/>
    <w:rsid w:val="00AD00C7"/>
    <w:rsid w:val="00AD3EDD"/>
    <w:rsid w:val="00AE26B4"/>
    <w:rsid w:val="00AF1D17"/>
    <w:rsid w:val="00B07DE7"/>
    <w:rsid w:val="00B13BB4"/>
    <w:rsid w:val="00B14306"/>
    <w:rsid w:val="00B27AED"/>
    <w:rsid w:val="00B30670"/>
    <w:rsid w:val="00B371A2"/>
    <w:rsid w:val="00B43D8D"/>
    <w:rsid w:val="00B513C0"/>
    <w:rsid w:val="00B66E1D"/>
    <w:rsid w:val="00B74543"/>
    <w:rsid w:val="00BA26E3"/>
    <w:rsid w:val="00BC507C"/>
    <w:rsid w:val="00BE2DFA"/>
    <w:rsid w:val="00BE4D48"/>
    <w:rsid w:val="00BE7220"/>
    <w:rsid w:val="00BF1455"/>
    <w:rsid w:val="00BF2B8D"/>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26B63"/>
    <w:rsid w:val="00D327AD"/>
    <w:rsid w:val="00D34461"/>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0761"/>
    <w:rsid w:val="00E64A57"/>
    <w:rsid w:val="00E72F47"/>
    <w:rsid w:val="00E77F23"/>
    <w:rsid w:val="00E80D5E"/>
    <w:rsid w:val="00E83BA4"/>
    <w:rsid w:val="00EA0F6C"/>
    <w:rsid w:val="00EA37F7"/>
    <w:rsid w:val="00EB6ABD"/>
    <w:rsid w:val="00ED27DE"/>
    <w:rsid w:val="00ED3CB8"/>
    <w:rsid w:val="00ED6E98"/>
    <w:rsid w:val="00EE0D8D"/>
    <w:rsid w:val="00EE32F2"/>
    <w:rsid w:val="00EE4A71"/>
    <w:rsid w:val="00F20C2E"/>
    <w:rsid w:val="00F250C3"/>
    <w:rsid w:val="00F30363"/>
    <w:rsid w:val="00F343B6"/>
    <w:rsid w:val="00F56471"/>
    <w:rsid w:val="00F67D20"/>
    <w:rsid w:val="00F70995"/>
    <w:rsid w:val="00F72651"/>
    <w:rsid w:val="00FA7D0C"/>
    <w:rsid w:val="00FB3F7D"/>
    <w:rsid w:val="00FB6D27"/>
    <w:rsid w:val="00FC3DE2"/>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aliases w:val="Char"/>
    <w:basedOn w:val="Normal"/>
    <w:next w:val="Normal"/>
    <w:link w:val="Heading1Char"/>
    <w:qFormat/>
    <w:rsid w:val="00CD5B3B"/>
    <w:pPr>
      <w:keepNext/>
      <w:spacing w:before="240" w:after="60"/>
      <w:outlineLvl w:val="0"/>
    </w:pPr>
    <w:rPr>
      <w:rFonts w:ascii="Calibri" w:eastAsia="MS Gothic" w:hAnsi="Calibri"/>
      <w:b/>
      <w:bCs/>
      <w:kern w:val="32"/>
      <w:sz w:val="32"/>
      <w:szCs w:val="32"/>
    </w:rPr>
  </w:style>
  <w:style w:type="paragraph" w:styleId="Heading2">
    <w:name w:val="heading 2"/>
    <w:aliases w:val="Heading 2 Char1,Heading 2 Char Char,Nadpis_2,AB,Numbered - 2,Sub Heading,ignorer2,Fejléc 2"/>
    <w:basedOn w:val="Normal"/>
    <w:next w:val="Normal"/>
    <w:link w:val="Heading2Char"/>
    <w:qFormat/>
    <w:rsid w:val="00100F36"/>
    <w:pPr>
      <w:keepNext/>
      <w:spacing w:before="240" w:after="60"/>
      <w:outlineLvl w:val="1"/>
    </w:pPr>
    <w:rPr>
      <w:rFonts w:ascii="Calibri" w:eastAsia="MS Gothic" w:hAnsi="Calibri"/>
      <w:b/>
      <w:bCs/>
      <w:i/>
      <w:iCs/>
      <w:sz w:val="28"/>
      <w:szCs w:val="28"/>
    </w:rPr>
  </w:style>
  <w:style w:type="paragraph" w:styleId="Heading3">
    <w:name w:val="heading 3"/>
    <w:aliases w:val="Podpodkapitola,adpis 3,KopCat. 3,Numbered - 3, Caracter"/>
    <w:basedOn w:val="Heading2"/>
    <w:next w:val="Normal"/>
    <w:link w:val="Heading3Char"/>
    <w:qFormat/>
    <w:rsid w:val="00BE2DFA"/>
    <w:pPr>
      <w:keepNext w:val="0"/>
      <w:spacing w:before="160" w:line="288" w:lineRule="auto"/>
      <w:ind w:left="0"/>
      <w:contextualSpacing/>
      <w:jc w:val="left"/>
      <w:outlineLvl w:val="2"/>
    </w:pPr>
    <w:rPr>
      <w:rFonts w:ascii="Trebuchet MS" w:hAnsi="Trebuchet MS"/>
      <w:b w:val="0"/>
      <w:bCs w:val="0"/>
      <w:i w:val="0"/>
      <w:iCs w:val="0"/>
      <w:color w:val="001489"/>
      <w:spacing w:val="-10"/>
      <w:kern w:val="28"/>
      <w:szCs w:val="32"/>
      <w:lang w:val="ro-RO" w:eastAsia="x-none"/>
    </w:rPr>
  </w:style>
  <w:style w:type="paragraph" w:styleId="Heading4">
    <w:name w:val="heading 4"/>
    <w:aliases w:val="1-1,Numbered - 4"/>
    <w:basedOn w:val="Normal"/>
    <w:next w:val="Normal"/>
    <w:link w:val="Heading4Char"/>
    <w:qFormat/>
    <w:rsid w:val="00BE2DFA"/>
    <w:pPr>
      <w:spacing w:before="120"/>
      <w:ind w:left="0"/>
      <w:outlineLvl w:val="3"/>
    </w:pPr>
    <w:rPr>
      <w:rFonts w:eastAsia="Calibri"/>
      <w:i/>
      <w:sz w:val="24"/>
      <w:szCs w:val="24"/>
      <w:lang w:val="ro-RO" w:eastAsia="x-none"/>
    </w:rPr>
  </w:style>
  <w:style w:type="paragraph" w:styleId="Heading6">
    <w:name w:val="heading 6"/>
    <w:basedOn w:val="Normal"/>
    <w:next w:val="Normal"/>
    <w:link w:val="Heading6Char"/>
    <w:uiPriority w:val="9"/>
    <w:qFormat/>
    <w:rsid w:val="00BE2DFA"/>
    <w:pPr>
      <w:keepNext/>
      <w:keepLines/>
      <w:spacing w:before="40" w:after="0"/>
      <w:ind w:left="0"/>
      <w:outlineLvl w:val="5"/>
    </w:pPr>
    <w:rPr>
      <w:rFonts w:ascii="Calibri Light" w:eastAsia="MS Gothic" w:hAnsi="Calibri Light"/>
      <w:color w:val="1F4D78"/>
      <w:szCs w:val="24"/>
      <w:lang w:val="ro-RO"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aliases w:val="Char Char"/>
    <w:link w:val="Heading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aliases w:val="Heading 2 Char1 Char,Heading 2 Char Char Char,Nadpis_2 Char,AB Char,Numbered - 2 Char,Sub Heading Char,ignorer2 Char,Fejléc 2 Char"/>
    <w:link w:val="Heading2"/>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aliases w:val="Footnote Text Char1,Footnote Text Char Char"/>
    <w:basedOn w:val="Normal"/>
    <w:link w:val="FootnoteTextChar"/>
    <w:unhideWhenUsed/>
    <w:rsid w:val="003E750E"/>
    <w:pPr>
      <w:spacing w:after="0"/>
      <w:ind w:left="0"/>
    </w:pPr>
    <w:rPr>
      <w:sz w:val="16"/>
      <w:szCs w:val="20"/>
    </w:rPr>
  </w:style>
  <w:style w:type="character" w:customStyle="1" w:styleId="FootnoteTextChar">
    <w:name w:val="Footnote Text Char"/>
    <w:aliases w:val="Footnote Text Char1 Char,Footnote Text Char Char Char"/>
    <w:basedOn w:val="DefaultParagraphFont"/>
    <w:link w:val="FootnoteText"/>
    <w:rsid w:val="003E750E"/>
    <w:rPr>
      <w:rFonts w:ascii="Trebuchet MS" w:hAnsi="Trebuchet MS"/>
      <w:sz w:val="16"/>
    </w:rPr>
  </w:style>
  <w:style w:type="character" w:styleId="FootnoteReference">
    <w:name w:val="footnote reference"/>
    <w:basedOn w:val="DefaultParagraphFont"/>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1,Списък на абзаци,List Paragraph11,body 2,List Paragraph111,Bullet,Citation List"/>
    <w:basedOn w:val="Normal"/>
    <w:link w:val="ListParagraphChar"/>
    <w:uiPriority w:val="34"/>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 w:type="character" w:customStyle="1" w:styleId="Heading3Char">
    <w:name w:val="Heading 3 Char"/>
    <w:aliases w:val="Podpodkapitola Char1,adpis 3 Char1,KopCat. 3 Char1,Numbered - 3 Char1, Caracter Char1"/>
    <w:basedOn w:val="DefaultParagraphFont"/>
    <w:link w:val="Heading3"/>
    <w:rsid w:val="00BE2DFA"/>
    <w:rPr>
      <w:rFonts w:ascii="Trebuchet MS" w:eastAsia="MS Gothic" w:hAnsi="Trebuchet MS"/>
      <w:color w:val="001489"/>
      <w:spacing w:val="-10"/>
      <w:kern w:val="28"/>
      <w:sz w:val="28"/>
      <w:szCs w:val="32"/>
      <w:lang w:val="ro-RO" w:eastAsia="x-none"/>
    </w:rPr>
  </w:style>
  <w:style w:type="character" w:customStyle="1" w:styleId="Heading4Char">
    <w:name w:val="Heading 4 Char"/>
    <w:aliases w:val="1-1 Char,Numbered - 4 Char"/>
    <w:basedOn w:val="DefaultParagraphFont"/>
    <w:link w:val="Heading4"/>
    <w:rsid w:val="00BE2DFA"/>
    <w:rPr>
      <w:rFonts w:ascii="Trebuchet MS" w:eastAsia="Calibri" w:hAnsi="Trebuchet MS"/>
      <w:i/>
      <w:sz w:val="24"/>
      <w:szCs w:val="24"/>
      <w:lang w:val="ro-RO" w:eastAsia="x-none"/>
    </w:rPr>
  </w:style>
  <w:style w:type="character" w:customStyle="1" w:styleId="Heading6Char">
    <w:name w:val="Heading 6 Char"/>
    <w:basedOn w:val="DefaultParagraphFont"/>
    <w:link w:val="Heading6"/>
    <w:uiPriority w:val="9"/>
    <w:rsid w:val="00BE2DFA"/>
    <w:rPr>
      <w:rFonts w:ascii="Calibri Light" w:eastAsia="MS Gothic" w:hAnsi="Calibri Light"/>
      <w:color w:val="1F4D78"/>
      <w:sz w:val="22"/>
      <w:szCs w:val="24"/>
      <w:lang w:val="ro-RO" w:eastAsia="x-none"/>
    </w:rPr>
  </w:style>
  <w:style w:type="numbering" w:customStyle="1" w:styleId="NoList1">
    <w:name w:val="No List1"/>
    <w:next w:val="NoList"/>
    <w:uiPriority w:val="99"/>
    <w:semiHidden/>
    <w:unhideWhenUsed/>
    <w:rsid w:val="00BE2DFA"/>
  </w:style>
  <w:style w:type="paragraph" w:customStyle="1" w:styleId="Default">
    <w:name w:val="Default"/>
    <w:rsid w:val="00BE2DFA"/>
    <w:pPr>
      <w:autoSpaceDE w:val="0"/>
      <w:autoSpaceDN w:val="0"/>
      <w:adjustRightInd w:val="0"/>
    </w:pPr>
    <w:rPr>
      <w:rFonts w:eastAsia="Calibri" w:cs="Cambria"/>
      <w:color w:val="000000"/>
      <w:sz w:val="24"/>
      <w:szCs w:val="24"/>
    </w:rPr>
  </w:style>
  <w:style w:type="paragraph" w:customStyle="1" w:styleId="Listcolorat-Accentuare11">
    <w:name w:val="Listă colorată - Accentuare 11"/>
    <w:basedOn w:val="Normal"/>
    <w:link w:val="ColorfulList-Accent1Char"/>
    <w:uiPriority w:val="34"/>
    <w:qFormat/>
    <w:rsid w:val="00BE2DFA"/>
    <w:pPr>
      <w:spacing w:before="120"/>
      <w:ind w:left="720"/>
      <w:contextualSpacing/>
    </w:pPr>
    <w:rPr>
      <w:rFonts w:eastAsia="Calibri"/>
      <w:sz w:val="24"/>
      <w:szCs w:val="24"/>
      <w:lang w:val="ro-RO" w:eastAsia="x-none"/>
    </w:rPr>
  </w:style>
  <w:style w:type="table" w:customStyle="1" w:styleId="TableGrid1">
    <w:name w:val="Table Grid1"/>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BE2DFA"/>
    <w:pPr>
      <w:spacing w:before="120" w:after="0"/>
      <w:ind w:left="0"/>
    </w:pPr>
    <w:rPr>
      <w:sz w:val="20"/>
      <w:szCs w:val="20"/>
      <w:lang w:val="ro-RO" w:eastAsia="x-none"/>
    </w:rPr>
  </w:style>
  <w:style w:type="character" w:customStyle="1" w:styleId="tableparagraphChar">
    <w:name w:val="table paragraph Char"/>
    <w:link w:val="tableparagraph"/>
    <w:rsid w:val="00BE2DFA"/>
    <w:rPr>
      <w:rFonts w:ascii="Trebuchet MS" w:hAnsi="Trebuchet MS"/>
      <w:lang w:val="ro-RO" w:eastAsia="x-none"/>
    </w:rPr>
  </w:style>
  <w:style w:type="paragraph" w:customStyle="1" w:styleId="Grilmedie21">
    <w:name w:val="Grilă medie 21"/>
    <w:uiPriority w:val="1"/>
    <w:qFormat/>
    <w:rsid w:val="00BE2DFA"/>
    <w:rPr>
      <w:rFonts w:ascii="Trebuchet MS" w:eastAsia="Calibri" w:hAnsi="Trebuchet MS"/>
      <w:sz w:val="22"/>
      <w:szCs w:val="22"/>
      <w:lang w:val="ro-RO"/>
    </w:rPr>
  </w:style>
  <w:style w:type="paragraph" w:styleId="Subtitle">
    <w:name w:val="Subtitle"/>
    <w:basedOn w:val="Normal"/>
    <w:next w:val="Normal"/>
    <w:link w:val="SubtitleChar"/>
    <w:uiPriority w:val="11"/>
    <w:qFormat/>
    <w:rsid w:val="00BE2DFA"/>
    <w:pPr>
      <w:numPr>
        <w:ilvl w:val="1"/>
      </w:numPr>
      <w:spacing w:before="120"/>
      <w:ind w:left="1701"/>
    </w:pPr>
    <w:rPr>
      <w:spacing w:val="15"/>
      <w:sz w:val="20"/>
      <w:szCs w:val="20"/>
      <w:lang w:val="ro-RO" w:eastAsia="x-none"/>
    </w:rPr>
  </w:style>
  <w:style w:type="character" w:customStyle="1" w:styleId="SubtitleChar">
    <w:name w:val="Subtitle Char"/>
    <w:basedOn w:val="DefaultParagraphFont"/>
    <w:link w:val="Subtitle"/>
    <w:uiPriority w:val="11"/>
    <w:rsid w:val="00BE2DFA"/>
    <w:rPr>
      <w:rFonts w:ascii="Trebuchet MS" w:hAnsi="Trebuchet MS"/>
      <w:spacing w:val="15"/>
      <w:lang w:val="ro-RO" w:eastAsia="x-none"/>
    </w:rPr>
  </w:style>
  <w:style w:type="character" w:customStyle="1" w:styleId="Tabelsimplu31">
    <w:name w:val="Tabel simplu 31"/>
    <w:uiPriority w:val="19"/>
    <w:qFormat/>
    <w:rsid w:val="00BE2DFA"/>
    <w:rPr>
      <w:rFonts w:ascii="Trebuchet MS" w:hAnsi="Trebuchet MS"/>
      <w:b w:val="0"/>
      <w:i/>
      <w:iCs/>
      <w:color w:val="404040"/>
    </w:rPr>
  </w:style>
  <w:style w:type="character" w:customStyle="1" w:styleId="Tabelsimplu41">
    <w:name w:val="Tabel simplu 41"/>
    <w:uiPriority w:val="21"/>
    <w:qFormat/>
    <w:rsid w:val="00BE2DFA"/>
    <w:rPr>
      <w:rFonts w:ascii="Trebuchet MS" w:hAnsi="Trebuchet MS"/>
      <w:i/>
      <w:iCs/>
      <w:color w:val="001489"/>
      <w:lang w:val="ro-RO"/>
    </w:rPr>
  </w:style>
  <w:style w:type="paragraph" w:customStyle="1" w:styleId="Grilcolorat-Accentuare11">
    <w:name w:val="Grilă colorată - Accentuare 11"/>
    <w:basedOn w:val="Normal"/>
    <w:next w:val="Normal"/>
    <w:uiPriority w:val="29"/>
    <w:qFormat/>
    <w:rsid w:val="00BE2DFA"/>
    <w:pPr>
      <w:spacing w:before="200"/>
      <w:ind w:left="864" w:right="864"/>
      <w:jc w:val="center"/>
    </w:pPr>
    <w:rPr>
      <w:rFonts w:eastAsia="Calibri"/>
      <w:i/>
      <w:iCs/>
      <w:color w:val="404040"/>
      <w:sz w:val="24"/>
      <w:szCs w:val="24"/>
      <w:lang w:val="ro-RO" w:eastAsia="x-none"/>
    </w:rPr>
  </w:style>
  <w:style w:type="table" w:customStyle="1" w:styleId="Tabelgril1Luminos-Accentuare31">
    <w:name w:val="Tabel grilă 1 Luminos - Accentuare 31"/>
    <w:basedOn w:val="TableNormal"/>
    <w:uiPriority w:val="46"/>
    <w:rsid w:val="00BE2DFA"/>
    <w:rPr>
      <w:rFonts w:ascii="Calibri" w:eastAsia="Calibri" w:hAnsi="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chestionarnumbering">
    <w:name w:val="chestionar numbering"/>
    <w:basedOn w:val="Listcolorat-Accentuare11"/>
    <w:link w:val="chestionarnumberingChar"/>
    <w:qFormat/>
    <w:rsid w:val="00BE2DFA"/>
    <w:pPr>
      <w:numPr>
        <w:numId w:val="8"/>
      </w:numPr>
      <w:ind w:left="0"/>
    </w:pPr>
    <w:rPr>
      <w:sz w:val="22"/>
    </w:rPr>
  </w:style>
  <w:style w:type="paragraph" w:customStyle="1" w:styleId="bullet">
    <w:name w:val="bullet"/>
    <w:basedOn w:val="Listcolorat-Accentuare11"/>
    <w:link w:val="bulletChar"/>
    <w:qFormat/>
    <w:rsid w:val="00BE2DFA"/>
    <w:pPr>
      <w:spacing w:before="240" w:after="60"/>
      <w:ind w:left="0"/>
      <w:contextualSpacing w:val="0"/>
    </w:pPr>
    <w:rPr>
      <w:sz w:val="22"/>
    </w:rPr>
  </w:style>
  <w:style w:type="character" w:customStyle="1" w:styleId="ColorfulList-Accent1Char">
    <w:name w:val="Colorful List - Accent 1 Char"/>
    <w:link w:val="Listcolorat-Accentuare11"/>
    <w:uiPriority w:val="34"/>
    <w:rsid w:val="00BE2DFA"/>
    <w:rPr>
      <w:rFonts w:ascii="Trebuchet MS" w:eastAsia="Calibri" w:hAnsi="Trebuchet MS"/>
      <w:sz w:val="24"/>
      <w:szCs w:val="24"/>
      <w:lang w:val="ro-RO" w:eastAsia="x-none"/>
    </w:rPr>
  </w:style>
  <w:style w:type="character" w:customStyle="1" w:styleId="chestionarnumberingChar">
    <w:name w:val="chestionar numbering Char"/>
    <w:link w:val="chestionarnumbering"/>
    <w:rsid w:val="00BE2DFA"/>
    <w:rPr>
      <w:rFonts w:ascii="Trebuchet MS" w:eastAsia="Calibri" w:hAnsi="Trebuchet MS"/>
      <w:sz w:val="22"/>
      <w:szCs w:val="24"/>
      <w:lang w:val="ro-RO" w:eastAsia="x-none"/>
    </w:rPr>
  </w:style>
  <w:style w:type="character" w:customStyle="1" w:styleId="bulletChar">
    <w:name w:val="bullet Char"/>
    <w:link w:val="bullet"/>
    <w:rsid w:val="00BE2DFA"/>
    <w:rPr>
      <w:rFonts w:ascii="Trebuchet MS" w:eastAsia="Calibri" w:hAnsi="Trebuchet MS"/>
      <w:sz w:val="22"/>
      <w:szCs w:val="24"/>
      <w:lang w:val="ro-RO" w:eastAsia="x-none"/>
    </w:rPr>
  </w:style>
  <w:style w:type="numbering" w:customStyle="1" w:styleId="NoList11">
    <w:name w:val="No List11"/>
    <w:next w:val="NoList"/>
    <w:semiHidden/>
    <w:rsid w:val="00BE2DFA"/>
  </w:style>
  <w:style w:type="paragraph" w:customStyle="1" w:styleId="fonts">
    <w:name w:val="fonts"/>
    <w:basedOn w:val="Normal"/>
    <w:rsid w:val="00BE2DFA"/>
    <w:pPr>
      <w:spacing w:before="150" w:after="150" w:line="240" w:lineRule="auto"/>
      <w:ind w:left="150" w:right="150"/>
    </w:pPr>
    <w:rPr>
      <w:rFonts w:ascii="Verdana" w:eastAsia="Times New Roman" w:hAnsi="Verdana"/>
      <w:sz w:val="19"/>
      <w:szCs w:val="19"/>
    </w:rPr>
  </w:style>
  <w:style w:type="paragraph" w:customStyle="1" w:styleId="button">
    <w:name w:val="button"/>
    <w:basedOn w:val="Normal"/>
    <w:rsid w:val="00BE2DFA"/>
    <w:pPr>
      <w:spacing w:before="100" w:beforeAutospacing="1" w:after="100" w:afterAutospacing="1" w:line="240" w:lineRule="auto"/>
      <w:ind w:left="0"/>
      <w:jc w:val="left"/>
    </w:pPr>
    <w:rPr>
      <w:rFonts w:ascii="Verdana" w:eastAsia="Times New Roman" w:hAnsi="Verdana"/>
      <w:b/>
      <w:bCs/>
      <w:color w:val="FF6600"/>
      <w:szCs w:val="24"/>
    </w:rPr>
  </w:style>
  <w:style w:type="character" w:customStyle="1" w:styleId="menuitxt21">
    <w:name w:val="menuitxt21"/>
    <w:rsid w:val="00BE2DFA"/>
    <w:rPr>
      <w:rFonts w:ascii="Verdana" w:hAnsi="Verdana" w:hint="default"/>
      <w:b/>
      <w:bCs/>
      <w:strike w:val="0"/>
      <w:dstrike w:val="0"/>
      <w:color w:val="666666"/>
      <w:sz w:val="21"/>
      <w:szCs w:val="21"/>
      <w:u w:val="none"/>
      <w:effect w:val="none"/>
    </w:rPr>
  </w:style>
  <w:style w:type="paragraph" w:customStyle="1" w:styleId="style15">
    <w:name w:val="style15"/>
    <w:basedOn w:val="Normal"/>
    <w:rsid w:val="00BE2DFA"/>
    <w:pPr>
      <w:spacing w:before="100" w:beforeAutospacing="1" w:after="100" w:afterAutospacing="1" w:line="240" w:lineRule="auto"/>
      <w:ind w:left="0"/>
      <w:jc w:val="left"/>
    </w:pPr>
    <w:rPr>
      <w:rFonts w:eastAsia="Times New Roman"/>
      <w:b/>
      <w:bCs/>
      <w:color w:val="666666"/>
      <w:sz w:val="21"/>
      <w:szCs w:val="21"/>
    </w:rPr>
  </w:style>
  <w:style w:type="paragraph" w:styleId="BodyText">
    <w:name w:val="Body Text"/>
    <w:basedOn w:val="Normal"/>
    <w:link w:val="BodyTextChar"/>
    <w:uiPriority w:val="99"/>
    <w:rsid w:val="00BE2DFA"/>
    <w:pPr>
      <w:spacing w:before="120" w:line="240" w:lineRule="auto"/>
      <w:ind w:left="0"/>
      <w:jc w:val="left"/>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BE2DFA"/>
    <w:rPr>
      <w:rFonts w:ascii="Times New Roman" w:eastAsia="Times New Roman" w:hAnsi="Times New Roman"/>
      <w:sz w:val="24"/>
      <w:szCs w:val="24"/>
      <w:lang w:val="x-none" w:eastAsia="x-none"/>
    </w:rPr>
  </w:style>
  <w:style w:type="character" w:customStyle="1" w:styleId="style91">
    <w:name w:val="style91"/>
    <w:rsid w:val="00BE2DFA"/>
    <w:rPr>
      <w:rFonts w:ascii="Trebuchet MS" w:hAnsi="Trebuchet MS" w:hint="default"/>
      <w:color w:val="358001"/>
      <w:sz w:val="27"/>
      <w:szCs w:val="27"/>
    </w:rPr>
  </w:style>
  <w:style w:type="paragraph" w:styleId="NormalWeb">
    <w:name w:val="Normal (Web)"/>
    <w:basedOn w:val="Normal"/>
    <w:uiPriority w:val="99"/>
    <w:rsid w:val="00BE2DFA"/>
    <w:pPr>
      <w:spacing w:before="100" w:beforeAutospacing="1" w:after="100" w:afterAutospacing="1" w:line="240" w:lineRule="auto"/>
      <w:ind w:left="0"/>
      <w:jc w:val="left"/>
    </w:pPr>
    <w:rPr>
      <w:rFonts w:ascii="Times New Roman" w:eastAsia="Times New Roman" w:hAnsi="Times New Roman"/>
      <w:szCs w:val="24"/>
    </w:rPr>
  </w:style>
  <w:style w:type="paragraph" w:styleId="PlainText">
    <w:name w:val="Plain Text"/>
    <w:basedOn w:val="Normal"/>
    <w:link w:val="PlainTextChar"/>
    <w:rsid w:val="00BE2DFA"/>
    <w:pPr>
      <w:spacing w:before="120" w:after="0" w:line="240" w:lineRule="auto"/>
      <w:ind w:left="0"/>
      <w:jc w:val="left"/>
    </w:pPr>
    <w:rPr>
      <w:rFonts w:ascii="Courier New" w:eastAsia="Times New Roman" w:hAnsi="Courier New"/>
      <w:sz w:val="20"/>
      <w:szCs w:val="20"/>
      <w:lang w:val="en-AU" w:eastAsia="x-none"/>
    </w:rPr>
  </w:style>
  <w:style w:type="character" w:customStyle="1" w:styleId="PlainTextChar">
    <w:name w:val="Plain Text Char"/>
    <w:basedOn w:val="DefaultParagraphFont"/>
    <w:link w:val="PlainText"/>
    <w:rsid w:val="00BE2DFA"/>
    <w:rPr>
      <w:rFonts w:ascii="Courier New" w:eastAsia="Times New Roman" w:hAnsi="Courier New"/>
      <w:lang w:val="en-AU" w:eastAsia="x-none"/>
    </w:rPr>
  </w:style>
  <w:style w:type="character" w:styleId="PageNumber">
    <w:name w:val="page number"/>
    <w:basedOn w:val="DefaultParagraphFont"/>
    <w:rsid w:val="00BE2DFA"/>
  </w:style>
  <w:style w:type="character" w:styleId="CommentReference">
    <w:name w:val="annotation reference"/>
    <w:uiPriority w:val="99"/>
    <w:semiHidden/>
    <w:rsid w:val="00BE2DFA"/>
    <w:rPr>
      <w:sz w:val="16"/>
      <w:szCs w:val="16"/>
    </w:rPr>
  </w:style>
  <w:style w:type="paragraph" w:styleId="CommentText">
    <w:name w:val="annotation text"/>
    <w:basedOn w:val="Normal"/>
    <w:link w:val="CommentTextChar"/>
    <w:uiPriority w:val="99"/>
    <w:semiHidden/>
    <w:rsid w:val="00BE2DFA"/>
    <w:pPr>
      <w:spacing w:before="120" w:after="0" w:line="240" w:lineRule="auto"/>
      <w:ind w:left="0"/>
      <w:jc w:val="left"/>
    </w:pPr>
    <w:rPr>
      <w:rFonts w:ascii="Times New Roman" w:eastAsia="Times New Roman" w:hAnsi="Times New Roman"/>
      <w:sz w:val="20"/>
      <w:szCs w:val="20"/>
      <w:lang w:val="en-GB" w:eastAsia="x-none"/>
    </w:rPr>
  </w:style>
  <w:style w:type="character" w:customStyle="1" w:styleId="CommentTextChar">
    <w:name w:val="Comment Text Char"/>
    <w:basedOn w:val="DefaultParagraphFont"/>
    <w:link w:val="CommentText"/>
    <w:uiPriority w:val="99"/>
    <w:semiHidden/>
    <w:rsid w:val="00BE2DFA"/>
    <w:rPr>
      <w:rFonts w:ascii="Times New Roman" w:eastAsia="Times New Roman" w:hAnsi="Times New Roman"/>
      <w:lang w:val="en-GB" w:eastAsia="x-none"/>
    </w:rPr>
  </w:style>
  <w:style w:type="paragraph" w:styleId="CommentSubject">
    <w:name w:val="annotation subject"/>
    <w:basedOn w:val="CommentText"/>
    <w:next w:val="CommentText"/>
    <w:link w:val="CommentSubjectChar"/>
    <w:uiPriority w:val="99"/>
    <w:semiHidden/>
    <w:rsid w:val="00BE2DFA"/>
    <w:rPr>
      <w:b/>
      <w:bCs/>
    </w:rPr>
  </w:style>
  <w:style w:type="character" w:customStyle="1" w:styleId="CommentSubjectChar">
    <w:name w:val="Comment Subject Char"/>
    <w:basedOn w:val="CommentTextChar"/>
    <w:link w:val="CommentSubject"/>
    <w:uiPriority w:val="99"/>
    <w:semiHidden/>
    <w:rsid w:val="00BE2DFA"/>
    <w:rPr>
      <w:rFonts w:ascii="Times New Roman" w:eastAsia="Times New Roman" w:hAnsi="Times New Roman"/>
      <w:b/>
      <w:bCs/>
      <w:lang w:val="en-GB" w:eastAsia="x-none"/>
    </w:rPr>
  </w:style>
  <w:style w:type="table" w:customStyle="1" w:styleId="TableGrid11">
    <w:name w:val="Table Grid11"/>
    <w:basedOn w:val="TableNormal"/>
    <w:next w:val="TableGrid"/>
    <w:rsid w:val="00BE2D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2D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dcond">
    <w:name w:val="heading 1 codcond"/>
    <w:basedOn w:val="Normal"/>
    <w:autoRedefine/>
    <w:rsid w:val="00BE2DFA"/>
    <w:pPr>
      <w:tabs>
        <w:tab w:val="num" w:pos="900"/>
      </w:tabs>
      <w:spacing w:before="120" w:after="0"/>
      <w:ind w:left="0"/>
    </w:pPr>
    <w:rPr>
      <w:rFonts w:ascii="Calibri" w:eastAsia="Times New Roman" w:hAnsi="Calibri" w:cs="Arial"/>
      <w:b/>
      <w:noProof/>
      <w:sz w:val="26"/>
      <w:szCs w:val="26"/>
      <w:lang w:val="ro-RO"/>
    </w:rPr>
  </w:style>
  <w:style w:type="table" w:customStyle="1" w:styleId="TableGrid3">
    <w:name w:val="Table Grid3"/>
    <w:basedOn w:val="TableNormal"/>
    <w:next w:val="TableGrid"/>
    <w:rsid w:val="00BE2DF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rsid w:val="00BE2DFA"/>
    <w:pPr>
      <w:spacing w:before="120" w:after="0" w:line="240" w:lineRule="auto"/>
      <w:ind w:left="0"/>
    </w:pPr>
    <w:rPr>
      <w:rFonts w:ascii="Times New Roman" w:eastAsia="Times New Roman" w:hAnsi="Times New Roman"/>
      <w:color w:val="000000"/>
      <w:spacing w:val="2"/>
      <w:sz w:val="24"/>
      <w:szCs w:val="24"/>
      <w:lang w:val="en-GB" w:eastAsia="en-GB"/>
    </w:rPr>
  </w:style>
  <w:style w:type="character" w:customStyle="1" w:styleId="FooterreferenceChar">
    <w:name w:val="Footer reference Char"/>
    <w:link w:val="Footerreference"/>
    <w:rsid w:val="00BE2DFA"/>
    <w:rPr>
      <w:rFonts w:ascii="Times New Roman" w:eastAsia="Times New Roman" w:hAnsi="Times New Roman"/>
      <w:color w:val="000000"/>
      <w:spacing w:val="2"/>
      <w:sz w:val="24"/>
      <w:szCs w:val="24"/>
      <w:lang w:val="en-GB" w:eastAsia="en-GB"/>
    </w:rPr>
  </w:style>
  <w:style w:type="table" w:customStyle="1" w:styleId="TableGrid41">
    <w:name w:val="Table Grid41"/>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E2DFA"/>
  </w:style>
  <w:style w:type="table" w:customStyle="1" w:styleId="TableGrid111">
    <w:name w:val="Table Grid111"/>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Podpodkapitola Char,adpis 3 Char,KopCat. 3 Char,Numbered - 3 Char, Caracter Char"/>
    <w:rsid w:val="00BE2DFA"/>
    <w:rPr>
      <w:rFonts w:ascii="Trebuchet MS" w:hAnsi="Trebuchet MS" w:cs="Arial"/>
      <w:szCs w:val="21"/>
      <w:lang w:val="ro-RO"/>
    </w:rPr>
  </w:style>
  <w:style w:type="paragraph" w:customStyle="1" w:styleId="instruct">
    <w:name w:val="instruct"/>
    <w:basedOn w:val="Normal"/>
    <w:rsid w:val="00BE2DFA"/>
    <w:pPr>
      <w:widowControl w:val="0"/>
      <w:autoSpaceDE w:val="0"/>
      <w:autoSpaceDN w:val="0"/>
      <w:adjustRightInd w:val="0"/>
      <w:spacing w:before="40" w:after="40" w:line="240" w:lineRule="auto"/>
      <w:ind w:left="0"/>
      <w:jc w:val="left"/>
    </w:pPr>
    <w:rPr>
      <w:rFonts w:eastAsia="Times New Roman" w:cs="Arial"/>
      <w:i/>
      <w:iCs/>
      <w:sz w:val="20"/>
      <w:szCs w:val="21"/>
      <w:lang w:val="ro-RO" w:eastAsia="sk-SK"/>
    </w:rPr>
  </w:style>
  <w:style w:type="paragraph" w:styleId="BodyTextIndent">
    <w:name w:val="Body Text Indent"/>
    <w:basedOn w:val="Normal"/>
    <w:link w:val="BodyTextIndentChar"/>
    <w:rsid w:val="00BE2DFA"/>
    <w:pPr>
      <w:spacing w:before="120" w:line="240" w:lineRule="auto"/>
      <w:ind w:left="57"/>
      <w:jc w:val="center"/>
    </w:pPr>
    <w:rPr>
      <w:rFonts w:ascii="Arial" w:eastAsia="Times New Roman" w:hAnsi="Arial"/>
      <w:sz w:val="20"/>
      <w:szCs w:val="24"/>
      <w:lang w:val="ro-RO" w:eastAsia="x-none"/>
    </w:rPr>
  </w:style>
  <w:style w:type="character" w:customStyle="1" w:styleId="BodyTextIndentChar">
    <w:name w:val="Body Text Indent Char"/>
    <w:basedOn w:val="DefaultParagraphFont"/>
    <w:link w:val="BodyTextIndent"/>
    <w:rsid w:val="00BE2DFA"/>
    <w:rPr>
      <w:rFonts w:ascii="Arial" w:eastAsia="Times New Roman" w:hAnsi="Arial"/>
      <w:szCs w:val="24"/>
      <w:lang w:val="ro-RO" w:eastAsia="x-none"/>
    </w:rPr>
  </w:style>
  <w:style w:type="numbering" w:customStyle="1" w:styleId="NoList1111">
    <w:name w:val="No List1111"/>
    <w:next w:val="NoList"/>
    <w:uiPriority w:val="99"/>
    <w:semiHidden/>
    <w:unhideWhenUsed/>
    <w:rsid w:val="00BE2DFA"/>
  </w:style>
  <w:style w:type="table" w:customStyle="1" w:styleId="TableGrid24">
    <w:name w:val="Table Grid24"/>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
    <w:name w:val="bullette"/>
    <w:basedOn w:val="Normal"/>
    <w:autoRedefine/>
    <w:rsid w:val="00BE2DFA"/>
    <w:pPr>
      <w:tabs>
        <w:tab w:val="left" w:pos="0"/>
      </w:tabs>
      <w:spacing w:before="120" w:after="0" w:line="240" w:lineRule="auto"/>
      <w:ind w:left="-20" w:firstLine="20"/>
    </w:pPr>
    <w:rPr>
      <w:rFonts w:ascii="Times New Roman" w:eastAsia="Times New Roman" w:hAnsi="Times New Roman"/>
      <w:szCs w:val="20"/>
      <w:lang w:val="ro-RO"/>
    </w:rPr>
  </w:style>
  <w:style w:type="table" w:customStyle="1" w:styleId="TableGrid25">
    <w:name w:val="Table Grid25"/>
    <w:basedOn w:val="TableNormal"/>
    <w:next w:val="TableGrid"/>
    <w:uiPriority w:val="39"/>
    <w:rsid w:val="00BE2DF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BE2DFA"/>
    <w:pPr>
      <w:spacing w:before="120"/>
      <w:ind w:left="720"/>
      <w:contextualSpacing/>
    </w:pPr>
  </w:style>
  <w:style w:type="character" w:customStyle="1" w:styleId="l5def1">
    <w:name w:val="l5def1"/>
    <w:rsid w:val="00BE2DFA"/>
    <w:rPr>
      <w:rFonts w:ascii="Arial" w:hAnsi="Arial" w:cs="Arial" w:hint="default"/>
      <w:color w:val="000000"/>
      <w:sz w:val="26"/>
      <w:szCs w:val="26"/>
    </w:rPr>
  </w:style>
  <w:style w:type="character" w:customStyle="1" w:styleId="l5tlu1">
    <w:name w:val="l5tlu1"/>
    <w:rsid w:val="00BE2DFA"/>
    <w:rPr>
      <w:b/>
      <w:bCs/>
      <w:color w:val="000000"/>
      <w:sz w:val="32"/>
      <w:szCs w:val="32"/>
    </w:rPr>
  </w:style>
  <w:style w:type="character" w:customStyle="1" w:styleId="l5def3">
    <w:name w:val="l5def3"/>
    <w:rsid w:val="00BE2DFA"/>
    <w:rPr>
      <w:rFonts w:ascii="Arial" w:hAnsi="Arial" w:cs="Arial" w:hint="default"/>
      <w:color w:val="000000"/>
      <w:sz w:val="26"/>
      <w:szCs w:val="26"/>
    </w:rPr>
  </w:style>
  <w:style w:type="character" w:customStyle="1" w:styleId="l5def2">
    <w:name w:val="l5def2"/>
    <w:rsid w:val="00BE2DFA"/>
    <w:rPr>
      <w:rFonts w:ascii="Arial" w:hAnsi="Arial" w:cs="Arial" w:hint="default"/>
      <w:color w:val="000000"/>
      <w:sz w:val="26"/>
      <w:szCs w:val="26"/>
    </w:rPr>
  </w:style>
  <w:style w:type="character" w:customStyle="1" w:styleId="spar">
    <w:name w:val="s_par"/>
    <w:rsid w:val="00BE2DFA"/>
  </w:style>
  <w:style w:type="paragraph" w:customStyle="1" w:styleId="ColorfulShading-Accent11">
    <w:name w:val="Colorful Shading - Accent 11"/>
    <w:hidden/>
    <w:uiPriority w:val="71"/>
    <w:semiHidden/>
    <w:rsid w:val="00BE2DFA"/>
    <w:rPr>
      <w:rFonts w:ascii="Trebuchet MS" w:eastAsia="Calibri" w:hAnsi="Trebuchet MS"/>
      <w:sz w:val="22"/>
      <w:szCs w:val="24"/>
      <w:lang w:val="ro-RO"/>
    </w:rPr>
  </w:style>
  <w:style w:type="character" w:styleId="FollowedHyperlink">
    <w:name w:val="FollowedHyperlink"/>
    <w:uiPriority w:val="99"/>
    <w:semiHidden/>
    <w:unhideWhenUsed/>
    <w:rsid w:val="00BE2DFA"/>
    <w:rPr>
      <w:color w:val="800080"/>
      <w:u w:val="single"/>
    </w:rPr>
  </w:style>
  <w:style w:type="character" w:customStyle="1" w:styleId="rvts7">
    <w:name w:val="rvts7"/>
    <w:basedOn w:val="DefaultParagraphFont"/>
    <w:rsid w:val="00BE2DFA"/>
  </w:style>
  <w:style w:type="character" w:customStyle="1" w:styleId="ListParagraphChar">
    <w:name w:val="List Paragraph Char"/>
    <w:aliases w:val="Normal bullet 2 Char,List Paragraph1 Char,Akapit z listą BS Char,Outlines a.b.c. Char,List_Paragraph Char,Multilevel para_II Char,Akapit z lista BS Char,List1 Char,Списък на абзаци Char,List Paragraph11 Char,body 2 Char,Bullet Char"/>
    <w:link w:val="ListParagraph"/>
    <w:uiPriority w:val="34"/>
    <w:rsid w:val="00BE2DFA"/>
    <w:rPr>
      <w:rFonts w:ascii="Trebuchet MS" w:hAnsi="Trebuchet MS"/>
      <w:sz w:val="22"/>
      <w:szCs w:val="22"/>
    </w:rPr>
  </w:style>
  <w:style w:type="character" w:customStyle="1" w:styleId="slitbdy">
    <w:name w:val="s_lit_bdy"/>
    <w:basedOn w:val="DefaultParagraphFont"/>
    <w:rsid w:val="00BE2DFA"/>
  </w:style>
  <w:style w:type="paragraph" w:styleId="Revision">
    <w:name w:val="Revision"/>
    <w:hidden/>
    <w:uiPriority w:val="99"/>
    <w:rsid w:val="00BE2DFA"/>
    <w:rPr>
      <w:rFonts w:ascii="Trebuchet MS" w:eastAsia="Calibri" w:hAnsi="Trebuchet MS"/>
      <w:sz w:val="22"/>
      <w:szCs w:val="24"/>
      <w:lang w:val="ro-RO"/>
    </w:rPr>
  </w:style>
  <w:style w:type="character" w:customStyle="1" w:styleId="tpa1">
    <w:name w:val="tpa1"/>
    <w:basedOn w:val="DefaultParagraphFont"/>
    <w:rsid w:val="00BE2DFA"/>
  </w:style>
  <w:style w:type="paragraph" w:customStyle="1" w:styleId="default0">
    <w:name w:val="default"/>
    <w:basedOn w:val="Normal"/>
    <w:rsid w:val="00BE2DFA"/>
    <w:pPr>
      <w:autoSpaceDE w:val="0"/>
      <w:autoSpaceDN w:val="0"/>
      <w:spacing w:after="0" w:line="240" w:lineRule="auto"/>
      <w:ind w:left="0"/>
      <w:jc w:val="left"/>
    </w:pPr>
    <w:rPr>
      <w:rFonts w:ascii="Calibri" w:eastAsia="Calibri" w:hAnsi="Calibri" w:cs="Calibri"/>
      <w:color w:val="000000"/>
      <w:sz w:val="24"/>
      <w:szCs w:val="24"/>
    </w:rPr>
  </w:style>
  <w:style w:type="character" w:customStyle="1" w:styleId="slit">
    <w:name w:val="s_lit"/>
    <w:basedOn w:val="DefaultParagraphFont"/>
    <w:rsid w:val="00BE2DFA"/>
  </w:style>
  <w:style w:type="character" w:customStyle="1" w:styleId="slitttl">
    <w:name w:val="s_lit_ttl"/>
    <w:basedOn w:val="DefaultParagraphFont"/>
    <w:rsid w:val="00BE2DFA"/>
  </w:style>
  <w:style w:type="paragraph" w:styleId="EndnoteText">
    <w:name w:val="endnote text"/>
    <w:basedOn w:val="Normal"/>
    <w:link w:val="EndnoteTextChar"/>
    <w:uiPriority w:val="99"/>
    <w:semiHidden/>
    <w:unhideWhenUsed/>
    <w:rsid w:val="00F343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3B6"/>
    <w:rPr>
      <w:rFonts w:ascii="Trebuchet MS" w:hAnsi="Trebuchet MS"/>
    </w:rPr>
  </w:style>
  <w:style w:type="character" w:styleId="EndnoteReference">
    <w:name w:val="endnote reference"/>
    <w:basedOn w:val="DefaultParagraphFont"/>
    <w:uiPriority w:val="99"/>
    <w:semiHidden/>
    <w:unhideWhenUsed/>
    <w:rsid w:val="00F34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 w:id="1730111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nb.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C735-25B1-4320-A6FA-811A66E9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1030</TotalTime>
  <Pages>1</Pages>
  <Words>6812</Words>
  <Characters>38833</Characters>
  <Application>Microsoft Office Word</Application>
  <DocSecurity>0</DocSecurity>
  <Lines>323</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45554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19</cp:revision>
  <cp:lastPrinted>2024-07-12T06:01:00Z</cp:lastPrinted>
  <dcterms:created xsi:type="dcterms:W3CDTF">2023-12-06T11:03:00Z</dcterms:created>
  <dcterms:modified xsi:type="dcterms:W3CDTF">2024-07-12T06:01:00Z</dcterms:modified>
</cp:coreProperties>
</file>