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77F35" w14:textId="77777777" w:rsidR="004E3089" w:rsidRPr="004E3089" w:rsidRDefault="004E3089" w:rsidP="004E3089">
      <w:pPr>
        <w:spacing w:before="120"/>
        <w:ind w:left="0"/>
        <w:rPr>
          <w:rFonts w:eastAsia="Calibri"/>
          <w:szCs w:val="24"/>
          <w:lang w:val="ro-RO"/>
        </w:rPr>
      </w:pPr>
      <w:bookmarkStart w:id="0" w:name="_GoBack"/>
      <w:bookmarkEnd w:id="0"/>
    </w:p>
    <w:p w14:paraId="6F739E0C" w14:textId="77777777" w:rsidR="00D530A0" w:rsidRPr="00D530A0" w:rsidRDefault="00D530A0" w:rsidP="00D530A0">
      <w:pPr>
        <w:spacing w:before="120"/>
        <w:ind w:left="0"/>
        <w:rPr>
          <w:rFonts w:eastAsia="Calibri"/>
          <w:szCs w:val="24"/>
          <w:lang w:val="ro-RO"/>
        </w:rPr>
      </w:pPr>
    </w:p>
    <w:p w14:paraId="4183346F" w14:textId="77777777" w:rsidR="00D530A0" w:rsidRPr="00D530A0" w:rsidRDefault="00D530A0" w:rsidP="00D530A0">
      <w:pPr>
        <w:spacing w:before="120"/>
        <w:ind w:left="0"/>
        <w:rPr>
          <w:rFonts w:eastAsia="Times New Roman" w:cs="Arial"/>
          <w:b/>
          <w:sz w:val="32"/>
          <w:szCs w:val="32"/>
          <w:lang w:val="ro-RO"/>
        </w:rPr>
      </w:pPr>
    </w:p>
    <w:p w14:paraId="617F6CC0" w14:textId="77777777" w:rsidR="00D530A0" w:rsidRPr="00D530A0" w:rsidRDefault="00D530A0" w:rsidP="00D530A0">
      <w:pPr>
        <w:spacing w:before="120"/>
        <w:ind w:left="0"/>
        <w:jc w:val="center"/>
        <w:rPr>
          <w:rFonts w:eastAsia="Times New Roman" w:cs="Arial"/>
          <w:bCs/>
          <w:sz w:val="32"/>
          <w:szCs w:val="32"/>
          <w:lang w:val="ro-RO"/>
        </w:rPr>
      </w:pPr>
      <w:r w:rsidRPr="00D530A0">
        <w:rPr>
          <w:rFonts w:eastAsia="Times New Roman" w:cs="Arial"/>
          <w:bCs/>
          <w:sz w:val="32"/>
          <w:szCs w:val="32"/>
          <w:lang w:val="ro-RO"/>
        </w:rPr>
        <w:t>EVALUAREA TEMATICĂ A</w:t>
      </w:r>
    </w:p>
    <w:p w14:paraId="707BE733" w14:textId="77777777" w:rsidR="00D530A0" w:rsidRPr="00D530A0" w:rsidRDefault="00D530A0" w:rsidP="00D530A0">
      <w:pPr>
        <w:spacing w:before="120"/>
        <w:ind w:left="0"/>
        <w:jc w:val="center"/>
        <w:rPr>
          <w:rFonts w:eastAsia="Times New Roman" w:cs="Arial"/>
          <w:bCs/>
          <w:sz w:val="32"/>
          <w:szCs w:val="32"/>
          <w:lang w:val="ro-RO"/>
        </w:rPr>
      </w:pPr>
      <w:r w:rsidRPr="00D530A0">
        <w:rPr>
          <w:rFonts w:eastAsia="Times New Roman" w:cs="Arial"/>
          <w:bCs/>
          <w:sz w:val="32"/>
          <w:szCs w:val="32"/>
          <w:lang w:val="ro-RO"/>
        </w:rPr>
        <w:t>MINISTERULUI CULTURII</w:t>
      </w:r>
    </w:p>
    <w:p w14:paraId="5C618D7B" w14:textId="77777777" w:rsidR="00D530A0" w:rsidRPr="00D530A0" w:rsidRDefault="00D530A0" w:rsidP="00D530A0">
      <w:pPr>
        <w:spacing w:before="120"/>
        <w:ind w:left="0"/>
        <w:jc w:val="center"/>
        <w:rPr>
          <w:rFonts w:eastAsia="Times New Roman" w:cs="Arial"/>
          <w:b/>
          <w:sz w:val="32"/>
          <w:szCs w:val="32"/>
          <w:lang w:val="ro-RO"/>
        </w:rPr>
      </w:pPr>
      <w:r w:rsidRPr="00D530A0">
        <w:rPr>
          <w:rFonts w:eastAsia="Times New Roman" w:cs="Arial"/>
          <w:bCs/>
          <w:sz w:val="32"/>
          <w:szCs w:val="32"/>
          <w:lang w:val="ro-RO"/>
        </w:rPr>
        <w:t>PRIVIND IMPLEMENTAREA</w:t>
      </w:r>
    </w:p>
    <w:p w14:paraId="257D8E90" w14:textId="77777777" w:rsidR="00D530A0" w:rsidRPr="00D530A0" w:rsidRDefault="00D530A0" w:rsidP="00D530A0">
      <w:pPr>
        <w:spacing w:before="120"/>
        <w:ind w:left="0"/>
        <w:jc w:val="center"/>
        <w:rPr>
          <w:rFonts w:eastAsia="Times New Roman" w:cs="Arial"/>
          <w:b/>
          <w:sz w:val="32"/>
          <w:szCs w:val="32"/>
          <w:lang w:val="ro-RO"/>
        </w:rPr>
      </w:pPr>
      <w:r w:rsidRPr="00D530A0">
        <w:rPr>
          <w:rFonts w:eastAsia="Times New Roman" w:cs="Arial"/>
          <w:b/>
          <w:sz w:val="32"/>
          <w:szCs w:val="32"/>
          <w:lang w:val="ro-RO"/>
        </w:rPr>
        <w:t>STRATEGIEI NAȚIONALE ANTICORUPȚIE 2021 – 2025</w:t>
      </w:r>
    </w:p>
    <w:p w14:paraId="5CD2ECD9" w14:textId="77777777" w:rsidR="00D530A0" w:rsidRPr="00D530A0" w:rsidRDefault="00D530A0" w:rsidP="00D530A0">
      <w:pPr>
        <w:spacing w:before="120"/>
        <w:ind w:left="0"/>
        <w:jc w:val="center"/>
        <w:rPr>
          <w:rFonts w:eastAsia="Times New Roman" w:cs="Arial"/>
          <w:b/>
          <w:sz w:val="32"/>
          <w:szCs w:val="32"/>
          <w:lang w:val="ro-RO"/>
        </w:rPr>
      </w:pPr>
    </w:p>
    <w:p w14:paraId="22D52610" w14:textId="77777777" w:rsidR="00D530A0" w:rsidRPr="00D530A0" w:rsidRDefault="00D530A0" w:rsidP="00D530A0">
      <w:pPr>
        <w:spacing w:before="120"/>
        <w:ind w:left="0"/>
        <w:jc w:val="center"/>
        <w:rPr>
          <w:rFonts w:eastAsia="Times New Roman" w:cs="Arial"/>
          <w:b/>
          <w:sz w:val="32"/>
          <w:szCs w:val="32"/>
          <w:lang w:val="ro-RO"/>
        </w:rPr>
      </w:pPr>
    </w:p>
    <w:p w14:paraId="6621F67F" w14:textId="77777777" w:rsidR="00D530A0" w:rsidRPr="00D530A0" w:rsidRDefault="00D530A0" w:rsidP="00D530A0">
      <w:pPr>
        <w:spacing w:before="120"/>
        <w:ind w:left="0"/>
        <w:jc w:val="center"/>
        <w:rPr>
          <w:rFonts w:eastAsia="Times New Roman" w:cs="Arial"/>
          <w:b/>
          <w:sz w:val="32"/>
          <w:szCs w:val="32"/>
          <w:lang w:val="ro-RO"/>
        </w:rPr>
      </w:pPr>
    </w:p>
    <w:p w14:paraId="3FFA594D" w14:textId="77777777" w:rsidR="00D530A0" w:rsidRPr="00D530A0" w:rsidRDefault="00D530A0" w:rsidP="00D530A0">
      <w:pPr>
        <w:spacing w:before="120"/>
        <w:ind w:left="0"/>
        <w:jc w:val="center"/>
        <w:rPr>
          <w:rFonts w:eastAsia="Times New Roman" w:cs="Arial"/>
          <w:b/>
          <w:sz w:val="32"/>
          <w:szCs w:val="32"/>
          <w:lang w:val="ro-RO"/>
        </w:rPr>
      </w:pPr>
    </w:p>
    <w:p w14:paraId="0240BFC9" w14:textId="77777777" w:rsidR="00D530A0" w:rsidRPr="00D530A0" w:rsidRDefault="00D530A0" w:rsidP="00D530A0">
      <w:pPr>
        <w:spacing w:before="120"/>
        <w:ind w:left="0"/>
        <w:jc w:val="center"/>
        <w:rPr>
          <w:rFonts w:eastAsia="Times New Roman" w:cs="Arial"/>
          <w:b/>
          <w:sz w:val="32"/>
          <w:szCs w:val="32"/>
          <w:lang w:val="ro-RO"/>
        </w:rPr>
      </w:pPr>
      <w:r w:rsidRPr="00D530A0">
        <w:rPr>
          <w:rFonts w:eastAsia="Times New Roman" w:cs="Arial"/>
          <w:b/>
          <w:sz w:val="32"/>
          <w:szCs w:val="32"/>
          <w:lang w:val="ro-RO"/>
        </w:rPr>
        <w:t>Raport de evaluare</w:t>
      </w:r>
    </w:p>
    <w:p w14:paraId="090A2936" w14:textId="77777777" w:rsidR="00D530A0" w:rsidRPr="00D530A0" w:rsidRDefault="00D530A0" w:rsidP="00D530A0">
      <w:pPr>
        <w:spacing w:before="120"/>
        <w:ind w:left="0"/>
        <w:jc w:val="center"/>
        <w:rPr>
          <w:rFonts w:eastAsia="Times New Roman" w:cs="Arial"/>
          <w:b/>
          <w:sz w:val="32"/>
          <w:szCs w:val="32"/>
          <w:lang w:val="ro-RO"/>
        </w:rPr>
      </w:pPr>
    </w:p>
    <w:p w14:paraId="65DBB005" w14:textId="77777777" w:rsidR="00D530A0" w:rsidRPr="00D530A0" w:rsidRDefault="00D530A0" w:rsidP="00D530A0">
      <w:pPr>
        <w:spacing w:before="120"/>
        <w:ind w:left="0"/>
        <w:jc w:val="center"/>
        <w:rPr>
          <w:rFonts w:eastAsia="Times New Roman" w:cs="Arial"/>
          <w:b/>
          <w:sz w:val="32"/>
          <w:szCs w:val="32"/>
          <w:lang w:val="ro-RO"/>
        </w:rPr>
      </w:pPr>
    </w:p>
    <w:p w14:paraId="37FC9184" w14:textId="77777777" w:rsidR="00D530A0" w:rsidRPr="00D530A0" w:rsidRDefault="00D530A0" w:rsidP="00D530A0">
      <w:pPr>
        <w:spacing w:before="120"/>
        <w:ind w:left="0"/>
        <w:jc w:val="center"/>
        <w:rPr>
          <w:rFonts w:eastAsia="Times New Roman" w:cs="Arial"/>
          <w:b/>
          <w:sz w:val="32"/>
          <w:szCs w:val="32"/>
          <w:lang w:val="ro-RO"/>
        </w:rPr>
      </w:pPr>
    </w:p>
    <w:p w14:paraId="6F673A1C" w14:textId="77777777" w:rsidR="00D530A0" w:rsidRPr="00D530A0" w:rsidRDefault="00D530A0" w:rsidP="00D530A0">
      <w:pPr>
        <w:spacing w:before="120"/>
        <w:ind w:left="0"/>
        <w:jc w:val="center"/>
        <w:rPr>
          <w:rFonts w:eastAsia="Times New Roman" w:cs="Arial"/>
          <w:b/>
          <w:sz w:val="32"/>
          <w:szCs w:val="32"/>
          <w:lang w:val="ro-RO"/>
        </w:rPr>
      </w:pPr>
    </w:p>
    <w:p w14:paraId="662D371C" w14:textId="77777777" w:rsidR="00D530A0" w:rsidRPr="00D530A0" w:rsidRDefault="00D530A0" w:rsidP="00D530A0">
      <w:pPr>
        <w:spacing w:before="120"/>
        <w:ind w:left="0"/>
        <w:jc w:val="center"/>
        <w:rPr>
          <w:rFonts w:eastAsia="Times New Roman" w:cs="Arial"/>
          <w:b/>
          <w:sz w:val="32"/>
          <w:szCs w:val="32"/>
          <w:lang w:val="ro-RO"/>
        </w:rPr>
      </w:pPr>
    </w:p>
    <w:p w14:paraId="6FA81F96" w14:textId="77777777" w:rsidR="00D530A0" w:rsidRPr="00D530A0" w:rsidRDefault="00D530A0" w:rsidP="00D530A0">
      <w:pPr>
        <w:spacing w:before="120"/>
        <w:ind w:left="0"/>
        <w:jc w:val="center"/>
        <w:rPr>
          <w:rFonts w:eastAsia="Times New Roman" w:cs="Arial"/>
          <w:b/>
          <w:sz w:val="32"/>
          <w:szCs w:val="32"/>
          <w:lang w:val="ro-RO"/>
        </w:rPr>
      </w:pPr>
    </w:p>
    <w:p w14:paraId="1FD0A558" w14:textId="77777777" w:rsidR="00D530A0" w:rsidRPr="00D530A0" w:rsidRDefault="00D530A0" w:rsidP="00D530A0">
      <w:pPr>
        <w:spacing w:before="120"/>
        <w:ind w:left="0"/>
        <w:jc w:val="center"/>
        <w:rPr>
          <w:rFonts w:eastAsia="Times New Roman" w:cs="Arial"/>
          <w:b/>
          <w:sz w:val="32"/>
          <w:szCs w:val="32"/>
          <w:lang w:val="ro-RO"/>
        </w:rPr>
      </w:pPr>
    </w:p>
    <w:p w14:paraId="2263F185" w14:textId="61245548" w:rsidR="00D530A0" w:rsidRPr="00D530A0" w:rsidRDefault="00D530A0" w:rsidP="00D530A0">
      <w:pPr>
        <w:spacing w:before="120"/>
        <w:ind w:left="0"/>
        <w:jc w:val="center"/>
        <w:rPr>
          <w:rFonts w:eastAsia="Times New Roman" w:cs="Arial"/>
          <w:b/>
          <w:sz w:val="32"/>
          <w:szCs w:val="32"/>
          <w:lang w:val="ro-RO"/>
        </w:rPr>
      </w:pPr>
      <w:r w:rsidRPr="00D530A0">
        <w:rPr>
          <w:rFonts w:eastAsia="Times New Roman" w:cs="Arial"/>
          <w:b/>
          <w:sz w:val="32"/>
          <w:szCs w:val="32"/>
          <w:lang w:val="ro-RO"/>
        </w:rPr>
        <w:t>202</w:t>
      </w:r>
      <w:r w:rsidR="00010C62">
        <w:rPr>
          <w:rFonts w:eastAsia="Times New Roman" w:cs="Arial"/>
          <w:b/>
          <w:sz w:val="32"/>
          <w:szCs w:val="32"/>
          <w:lang w:val="ro-RO"/>
        </w:rPr>
        <w:t>4</w:t>
      </w:r>
    </w:p>
    <w:p w14:paraId="6F3538E8" w14:textId="77777777" w:rsidR="00D530A0" w:rsidRPr="00D530A0" w:rsidRDefault="00D530A0" w:rsidP="00D530A0">
      <w:pPr>
        <w:spacing w:before="120" w:after="0" w:line="240" w:lineRule="auto"/>
        <w:ind w:left="0"/>
        <w:rPr>
          <w:rFonts w:eastAsia="Times New Roman" w:cs="Arial"/>
          <w:b/>
          <w:sz w:val="28"/>
          <w:szCs w:val="28"/>
          <w:lang w:val="ro-RO"/>
        </w:rPr>
      </w:pPr>
      <w:r w:rsidRPr="00D530A0">
        <w:rPr>
          <w:rFonts w:eastAsia="Times New Roman" w:cs="Arial"/>
          <w:b/>
          <w:sz w:val="32"/>
          <w:szCs w:val="32"/>
          <w:lang w:val="ro-RO"/>
        </w:rPr>
        <w:br w:type="page"/>
      </w:r>
    </w:p>
    <w:p w14:paraId="67D501F5" w14:textId="77777777" w:rsidR="00D530A0" w:rsidRPr="00D530A0" w:rsidRDefault="00D530A0" w:rsidP="00D530A0">
      <w:pPr>
        <w:numPr>
          <w:ilvl w:val="0"/>
          <w:numId w:val="34"/>
        </w:numPr>
        <w:spacing w:before="120" w:after="0"/>
        <w:ind w:left="0" w:firstLine="0"/>
        <w:jc w:val="center"/>
        <w:rPr>
          <w:rFonts w:eastAsia="Calibri"/>
          <w:b/>
          <w:bCs/>
          <w:szCs w:val="24"/>
          <w:lang w:val="ro-RO"/>
        </w:rPr>
      </w:pPr>
      <w:r w:rsidRPr="00D530A0">
        <w:rPr>
          <w:rFonts w:eastAsia="Calibri"/>
          <w:b/>
          <w:bCs/>
          <w:szCs w:val="24"/>
          <w:lang w:val="ro-RO"/>
        </w:rPr>
        <w:lastRenderedPageBreak/>
        <w:t>MINISTERUL CULTURII</w:t>
      </w:r>
    </w:p>
    <w:p w14:paraId="71B90093" w14:textId="77777777" w:rsidR="00D530A0" w:rsidRPr="00D530A0" w:rsidRDefault="00D530A0" w:rsidP="00D530A0">
      <w:pPr>
        <w:spacing w:before="120" w:after="0"/>
        <w:ind w:left="0"/>
        <w:rPr>
          <w:rFonts w:eastAsia="Calibri"/>
          <w:b/>
          <w:bCs/>
          <w:szCs w:val="24"/>
          <w:lang w:val="ro-RO"/>
        </w:rPr>
      </w:pPr>
    </w:p>
    <w:p w14:paraId="6157E8CF" w14:textId="77777777" w:rsidR="00D530A0" w:rsidRPr="00D530A0" w:rsidRDefault="00D530A0" w:rsidP="00D530A0">
      <w:pPr>
        <w:pBdr>
          <w:top w:val="single" w:sz="4" w:space="1" w:color="auto"/>
          <w:left w:val="single" w:sz="4" w:space="4" w:color="auto"/>
          <w:bottom w:val="single" w:sz="4" w:space="1" w:color="auto"/>
          <w:right w:val="single" w:sz="4" w:space="4" w:color="auto"/>
        </w:pBdr>
        <w:spacing w:before="120" w:after="0"/>
        <w:ind w:left="0"/>
        <w:rPr>
          <w:rFonts w:eastAsia="Times New Roman" w:cs="Arial"/>
          <w:b/>
          <w:lang w:val="ro-RO"/>
        </w:rPr>
      </w:pPr>
      <w:r w:rsidRPr="00D530A0">
        <w:rPr>
          <w:rFonts w:eastAsia="Times New Roman" w:cs="Arial"/>
          <w:b/>
          <w:lang w:val="ro-RO"/>
        </w:rPr>
        <w:t>I. INTRODUCERE</w:t>
      </w:r>
    </w:p>
    <w:p w14:paraId="048B2C23" w14:textId="77777777" w:rsidR="00D530A0" w:rsidRPr="00D530A0" w:rsidRDefault="00D530A0" w:rsidP="00D530A0">
      <w:pPr>
        <w:spacing w:before="120" w:after="0"/>
        <w:ind w:left="0"/>
        <w:contextualSpacing/>
        <w:rPr>
          <w:rFonts w:eastAsia="Times New Roman" w:cs="Arial"/>
          <w:lang w:val="ro-RO"/>
        </w:rPr>
      </w:pPr>
    </w:p>
    <w:p w14:paraId="6A28F382" w14:textId="77777777" w:rsidR="00D530A0" w:rsidRPr="00D530A0" w:rsidRDefault="00D530A0" w:rsidP="0090056F">
      <w:pPr>
        <w:keepNext/>
        <w:keepLines/>
        <w:numPr>
          <w:ilvl w:val="0"/>
          <w:numId w:val="5"/>
        </w:numPr>
        <w:spacing w:before="120" w:line="240" w:lineRule="auto"/>
        <w:ind w:left="-567" w:firstLine="0"/>
        <w:outlineLvl w:val="4"/>
        <w:rPr>
          <w:rFonts w:eastAsia="Times New Roman" w:cs="Arial"/>
          <w:b/>
          <w:bCs/>
          <w:i/>
          <w:lang w:val="ro-RO"/>
        </w:rPr>
      </w:pPr>
      <w:r w:rsidRPr="00D530A0">
        <w:rPr>
          <w:rFonts w:eastAsia="Times New Roman" w:cs="Arial"/>
          <w:b/>
          <w:bCs/>
          <w:i/>
          <w:lang w:val="ro-RO"/>
        </w:rPr>
        <w:t xml:space="preserve">Adresa fizică: </w:t>
      </w:r>
      <w:r w:rsidRPr="00D530A0">
        <w:rPr>
          <w:rFonts w:eastAsia="Calibri"/>
          <w:b/>
          <w:szCs w:val="24"/>
          <w:lang w:val="ro-RO"/>
        </w:rPr>
        <w:t>Bd. Unirii nr. 22, sector 3, București</w:t>
      </w:r>
      <w:r w:rsidRPr="00D530A0">
        <w:rPr>
          <w:rFonts w:eastAsia="Times New Roman" w:cs="Arial"/>
          <w:b/>
          <w:bCs/>
          <w:i/>
          <w:lang w:val="ro-RO"/>
        </w:rPr>
        <w:t xml:space="preserve"> </w:t>
      </w:r>
    </w:p>
    <w:p w14:paraId="4012B64A" w14:textId="77777777" w:rsidR="00D530A0" w:rsidRPr="00D530A0" w:rsidRDefault="00D530A0" w:rsidP="0090056F">
      <w:pPr>
        <w:keepNext/>
        <w:keepLines/>
        <w:numPr>
          <w:ilvl w:val="0"/>
          <w:numId w:val="5"/>
        </w:numPr>
        <w:spacing w:before="120" w:line="240" w:lineRule="auto"/>
        <w:ind w:left="-567" w:firstLine="0"/>
        <w:outlineLvl w:val="4"/>
        <w:rPr>
          <w:rFonts w:eastAsia="Calibri"/>
          <w:szCs w:val="24"/>
          <w:lang w:val="ro-RO"/>
        </w:rPr>
      </w:pPr>
      <w:r w:rsidRPr="00D530A0">
        <w:rPr>
          <w:rFonts w:eastAsia="Times New Roman" w:cs="Arial"/>
          <w:b/>
          <w:bCs/>
          <w:i/>
          <w:lang w:val="ro-RO"/>
        </w:rPr>
        <w:t>Adresa virtuală</w:t>
      </w:r>
      <w:r w:rsidRPr="00D530A0">
        <w:rPr>
          <w:rFonts w:eastAsia="Calibri" w:cs="Arial"/>
          <w:b/>
          <w:bCs/>
          <w:i/>
          <w:lang w:val="ro-RO"/>
        </w:rPr>
        <w:t xml:space="preserve">: </w:t>
      </w:r>
      <w:hyperlink r:id="rId8" w:history="1">
        <w:r w:rsidRPr="00D530A0">
          <w:rPr>
            <w:rFonts w:eastAsia="Calibri"/>
            <w:color w:val="0000FF"/>
            <w:szCs w:val="24"/>
            <w:u w:val="single"/>
            <w:lang w:val="ro-RO"/>
          </w:rPr>
          <w:t>www.cultura.ro</w:t>
        </w:r>
      </w:hyperlink>
      <w:r w:rsidRPr="00D530A0">
        <w:rPr>
          <w:rFonts w:eastAsia="Calibri"/>
          <w:szCs w:val="24"/>
          <w:lang w:val="ro-RO"/>
        </w:rPr>
        <w:t xml:space="preserve">  </w:t>
      </w:r>
    </w:p>
    <w:p w14:paraId="28E81C96" w14:textId="77777777" w:rsidR="00D530A0" w:rsidRPr="00D530A0" w:rsidRDefault="00D530A0" w:rsidP="0090056F">
      <w:pPr>
        <w:keepNext/>
        <w:keepLines/>
        <w:numPr>
          <w:ilvl w:val="0"/>
          <w:numId w:val="5"/>
        </w:numPr>
        <w:spacing w:before="120" w:line="240" w:lineRule="auto"/>
        <w:ind w:left="-567" w:firstLine="0"/>
        <w:outlineLvl w:val="4"/>
        <w:rPr>
          <w:rFonts w:eastAsia="Times New Roman" w:cs="Arial"/>
          <w:b/>
          <w:bCs/>
          <w:i/>
          <w:lang w:val="ro-RO"/>
        </w:rPr>
      </w:pPr>
      <w:r w:rsidRPr="00D530A0">
        <w:rPr>
          <w:rFonts w:eastAsia="Times New Roman" w:cs="Arial"/>
          <w:b/>
          <w:bCs/>
          <w:i/>
          <w:lang w:val="ro-RO"/>
        </w:rPr>
        <w:t>Cadrul legal care reglementează activitatea instituției:</w:t>
      </w:r>
    </w:p>
    <w:p w14:paraId="6B9D68F4" w14:textId="77777777" w:rsidR="00D530A0" w:rsidRPr="00D530A0" w:rsidRDefault="00D530A0" w:rsidP="0090056F">
      <w:pPr>
        <w:spacing w:after="0"/>
        <w:ind w:left="-567"/>
        <w:rPr>
          <w:rFonts w:eastAsia="Calibri"/>
          <w:bCs/>
          <w:szCs w:val="24"/>
          <w:lang w:val="ro-RO"/>
        </w:rPr>
      </w:pPr>
      <w:r w:rsidRPr="00D530A0">
        <w:rPr>
          <w:rFonts w:eastAsia="Calibri"/>
          <w:bCs/>
          <w:szCs w:val="24"/>
          <w:lang w:val="ro-RO"/>
        </w:rPr>
        <w:t>Hotărârea Guvernului nr. 90/2010 privind organizarea și funcționarea Ministerului Culturii, cu modificările și completările ulterioare.</w:t>
      </w:r>
    </w:p>
    <w:p w14:paraId="10D036E7" w14:textId="77777777" w:rsidR="00D530A0" w:rsidRPr="00D530A0" w:rsidRDefault="00D530A0" w:rsidP="0090056F">
      <w:pPr>
        <w:spacing w:after="0"/>
        <w:ind w:left="-567"/>
        <w:rPr>
          <w:rFonts w:eastAsia="Calibri"/>
          <w:bCs/>
          <w:szCs w:val="24"/>
          <w:lang w:val="ro-RO"/>
        </w:rPr>
      </w:pPr>
    </w:p>
    <w:p w14:paraId="1ED702E1" w14:textId="77777777" w:rsidR="00D530A0" w:rsidRPr="00D530A0" w:rsidRDefault="00D530A0" w:rsidP="0090056F">
      <w:pPr>
        <w:keepNext/>
        <w:keepLines/>
        <w:numPr>
          <w:ilvl w:val="0"/>
          <w:numId w:val="5"/>
        </w:numPr>
        <w:spacing w:before="120" w:line="240" w:lineRule="auto"/>
        <w:ind w:left="-567" w:firstLine="0"/>
        <w:outlineLvl w:val="4"/>
        <w:rPr>
          <w:rFonts w:eastAsia="Times New Roman" w:cs="Arial"/>
          <w:b/>
          <w:bCs/>
          <w:i/>
          <w:lang w:val="ro-RO"/>
        </w:rPr>
      </w:pPr>
      <w:r w:rsidRPr="00D530A0">
        <w:rPr>
          <w:rFonts w:eastAsia="Times New Roman" w:cs="Arial"/>
          <w:b/>
          <w:bCs/>
          <w:i/>
          <w:lang w:val="ro-RO"/>
        </w:rPr>
        <w:t>Misiune / atribuții / competențe / structura:</w:t>
      </w:r>
    </w:p>
    <w:p w14:paraId="399625BD" w14:textId="77777777" w:rsidR="00D530A0" w:rsidRPr="00D530A0" w:rsidRDefault="00D530A0" w:rsidP="0090056F">
      <w:pPr>
        <w:keepNext/>
        <w:keepLines/>
        <w:spacing w:before="120" w:line="240" w:lineRule="auto"/>
        <w:ind w:left="-567"/>
        <w:outlineLvl w:val="4"/>
        <w:rPr>
          <w:rFonts w:eastAsia="Times New Roman" w:cs="Arial"/>
          <w:i/>
          <w:lang w:val="ro-RO"/>
        </w:rPr>
      </w:pPr>
      <w:r w:rsidRPr="00D530A0">
        <w:rPr>
          <w:rFonts w:eastAsia="Calibri"/>
          <w:szCs w:val="24"/>
          <w:lang w:val="ro-RO"/>
        </w:rPr>
        <w:t>Ministerul Culturii (MC) este organ de specialitate al administrației publice centrale, cu personalitate juridică, aflat în subordinea Guvernului, care elaborează și asigură aplicarea strategiei și politicilor în domeniul culturii.</w:t>
      </w:r>
    </w:p>
    <w:p w14:paraId="50329FBF" w14:textId="77777777" w:rsidR="00D530A0" w:rsidRPr="00D530A0" w:rsidRDefault="00D530A0" w:rsidP="0090056F">
      <w:pPr>
        <w:spacing w:before="120"/>
        <w:ind w:left="-567"/>
        <w:rPr>
          <w:rFonts w:eastAsia="Calibri"/>
          <w:szCs w:val="24"/>
          <w:lang w:val="ro-RO"/>
        </w:rPr>
      </w:pPr>
      <w:r w:rsidRPr="00D530A0">
        <w:rPr>
          <w:rFonts w:eastAsia="Calibri"/>
          <w:iCs/>
          <w:szCs w:val="24"/>
          <w:lang w:val="ro-RO"/>
        </w:rPr>
        <w:t xml:space="preserve">Misiunea MC </w:t>
      </w:r>
      <w:r w:rsidRPr="00D530A0">
        <w:rPr>
          <w:rFonts w:eastAsia="Calibri"/>
          <w:szCs w:val="24"/>
          <w:lang w:val="ro-RO"/>
        </w:rPr>
        <w:t>este aceea de a asigura respectarea și promovarea libertăților și drepturilor fundamentale, consacrate de Constituția României și de tratatele și convențiile internaționale, la care România este parte, în ceea ce privește:</w:t>
      </w:r>
    </w:p>
    <w:p w14:paraId="4127454B" w14:textId="77777777" w:rsidR="00D530A0" w:rsidRPr="00D530A0" w:rsidRDefault="00D530A0" w:rsidP="0090056F">
      <w:pPr>
        <w:numPr>
          <w:ilvl w:val="0"/>
          <w:numId w:val="37"/>
        </w:numPr>
        <w:spacing w:before="120" w:line="240" w:lineRule="auto"/>
        <w:ind w:left="-567" w:firstLine="0"/>
        <w:rPr>
          <w:rFonts w:eastAsia="Calibri"/>
          <w:szCs w:val="24"/>
          <w:lang w:val="ro-RO"/>
        </w:rPr>
      </w:pPr>
      <w:r w:rsidRPr="00D530A0">
        <w:rPr>
          <w:rFonts w:eastAsia="Calibri"/>
          <w:szCs w:val="24"/>
          <w:lang w:val="ro-RO"/>
        </w:rPr>
        <w:t>libertatea de expresie și de creație;</w:t>
      </w:r>
    </w:p>
    <w:p w14:paraId="1A9A1F19" w14:textId="77777777" w:rsidR="00D530A0" w:rsidRPr="00D530A0" w:rsidRDefault="00D530A0" w:rsidP="0090056F">
      <w:pPr>
        <w:numPr>
          <w:ilvl w:val="0"/>
          <w:numId w:val="37"/>
        </w:numPr>
        <w:spacing w:before="120" w:line="240" w:lineRule="auto"/>
        <w:ind w:left="-567" w:firstLine="0"/>
        <w:rPr>
          <w:rFonts w:eastAsia="Calibri"/>
          <w:szCs w:val="24"/>
          <w:lang w:val="ro-RO"/>
        </w:rPr>
      </w:pPr>
      <w:r w:rsidRPr="00D530A0">
        <w:rPr>
          <w:rFonts w:eastAsia="Calibri"/>
          <w:szCs w:val="24"/>
          <w:lang w:val="ro-RO"/>
        </w:rPr>
        <w:t xml:space="preserve">accesul liber, neîngrădit și egal la cultură, inclusiv la patrimoniul cultural pentru generația prezentă, protejarea și conservarea valorilor culturale ale națiunii pentru uzul generațiilor viitoare; </w:t>
      </w:r>
    </w:p>
    <w:p w14:paraId="25A7B52F" w14:textId="77777777" w:rsidR="00D530A0" w:rsidRPr="00D530A0" w:rsidRDefault="00D530A0" w:rsidP="0090056F">
      <w:pPr>
        <w:numPr>
          <w:ilvl w:val="0"/>
          <w:numId w:val="37"/>
        </w:numPr>
        <w:spacing w:before="120" w:line="240" w:lineRule="auto"/>
        <w:ind w:left="-567" w:firstLine="0"/>
        <w:rPr>
          <w:rFonts w:eastAsia="Calibri"/>
          <w:szCs w:val="24"/>
          <w:lang w:val="ro-RO"/>
        </w:rPr>
      </w:pPr>
      <w:r w:rsidRPr="00D530A0">
        <w:rPr>
          <w:rFonts w:eastAsia="Calibri"/>
          <w:szCs w:val="24"/>
          <w:lang w:val="ro-RO"/>
        </w:rPr>
        <w:t xml:space="preserve">participarea tuturor cetățenilor la viața culturală, inclusiv la formularea politicilor culturale; </w:t>
      </w:r>
    </w:p>
    <w:p w14:paraId="2DDEA145" w14:textId="77777777" w:rsidR="00D530A0" w:rsidRPr="00D530A0" w:rsidRDefault="00D530A0" w:rsidP="0090056F">
      <w:pPr>
        <w:numPr>
          <w:ilvl w:val="0"/>
          <w:numId w:val="37"/>
        </w:numPr>
        <w:spacing w:before="120" w:line="240" w:lineRule="auto"/>
        <w:ind w:left="-567" w:firstLine="0"/>
        <w:rPr>
          <w:rFonts w:eastAsia="Calibri"/>
          <w:szCs w:val="24"/>
          <w:lang w:val="ro-RO"/>
        </w:rPr>
      </w:pPr>
      <w:r w:rsidRPr="00D530A0">
        <w:rPr>
          <w:rFonts w:eastAsia="Calibri"/>
          <w:szCs w:val="24"/>
          <w:lang w:val="ro-RO"/>
        </w:rPr>
        <w:t>dreptul la identitate culturală, precum și dreptul la diversitate culturală și lingvistică.</w:t>
      </w:r>
    </w:p>
    <w:p w14:paraId="60AAEE61" w14:textId="77777777" w:rsidR="00D530A0" w:rsidRPr="00D530A0" w:rsidRDefault="00D530A0" w:rsidP="0090056F">
      <w:pPr>
        <w:keepNext/>
        <w:keepLines/>
        <w:numPr>
          <w:ilvl w:val="0"/>
          <w:numId w:val="5"/>
        </w:numPr>
        <w:spacing w:before="120" w:line="240" w:lineRule="auto"/>
        <w:ind w:left="-567" w:firstLine="0"/>
        <w:outlineLvl w:val="4"/>
        <w:rPr>
          <w:rFonts w:eastAsia="Calibri"/>
          <w:b/>
          <w:bCs/>
          <w:szCs w:val="24"/>
          <w:lang w:val="ro-RO"/>
        </w:rPr>
      </w:pPr>
      <w:r w:rsidRPr="00D530A0">
        <w:rPr>
          <w:rFonts w:eastAsia="Calibri"/>
          <w:b/>
          <w:bCs/>
          <w:szCs w:val="24"/>
          <w:lang w:val="ro-RO"/>
        </w:rPr>
        <w:t>Organigrama:</w:t>
      </w:r>
    </w:p>
    <w:p w14:paraId="1887DC9A" w14:textId="77777777" w:rsidR="00D530A0" w:rsidRPr="00D530A0" w:rsidRDefault="00D530A0" w:rsidP="0090056F">
      <w:pPr>
        <w:spacing w:before="120"/>
        <w:ind w:left="-567"/>
        <w:rPr>
          <w:rFonts w:eastAsia="Calibri" w:cs="Arial"/>
          <w:szCs w:val="24"/>
          <w:lang w:val="ro-RO"/>
        </w:rPr>
      </w:pPr>
      <w:r w:rsidRPr="00D530A0">
        <w:rPr>
          <w:rFonts w:eastAsia="Calibri" w:cs="Arial"/>
          <w:szCs w:val="24"/>
          <w:lang w:val="ro-RO"/>
        </w:rPr>
        <w:t xml:space="preserve">În îndeplinirea atribuțiilor sale, ministrul culturii este ajutat de 4 secretari de stat, 3 subsecretari de stat, 1 secretar general și 2 secretari generali adjuncți. </w:t>
      </w:r>
    </w:p>
    <w:p w14:paraId="2F26BFDC" w14:textId="77777777" w:rsidR="00D530A0" w:rsidRPr="00D530A0" w:rsidRDefault="00D530A0" w:rsidP="0090056F">
      <w:pPr>
        <w:spacing w:before="120"/>
        <w:ind w:left="-567"/>
        <w:rPr>
          <w:rFonts w:eastAsia="Calibri" w:cs="Arial"/>
          <w:szCs w:val="24"/>
          <w:lang w:val="ro-RO"/>
        </w:rPr>
      </w:pPr>
      <w:r w:rsidRPr="00D530A0">
        <w:rPr>
          <w:rFonts w:eastAsia="Calibri" w:cs="Arial"/>
          <w:szCs w:val="24"/>
          <w:lang w:val="ro-RO"/>
        </w:rPr>
        <w:t>Structura organizatorică a Ministerului Culturii a fost anexată la chestionarul de evaluare și este atașată prezentului raport.</w:t>
      </w:r>
    </w:p>
    <w:p w14:paraId="68EAD285" w14:textId="77777777" w:rsidR="00D530A0" w:rsidRPr="00D530A0" w:rsidRDefault="00D530A0" w:rsidP="0090056F">
      <w:pPr>
        <w:keepNext/>
        <w:keepLines/>
        <w:numPr>
          <w:ilvl w:val="0"/>
          <w:numId w:val="5"/>
        </w:numPr>
        <w:spacing w:before="120" w:line="240" w:lineRule="auto"/>
        <w:ind w:left="-567" w:firstLine="0"/>
        <w:outlineLvl w:val="4"/>
        <w:rPr>
          <w:rFonts w:eastAsia="Calibri"/>
          <w:b/>
          <w:bCs/>
          <w:szCs w:val="24"/>
          <w:lang w:val="ro-RO"/>
        </w:rPr>
      </w:pPr>
      <w:r w:rsidRPr="00D530A0">
        <w:rPr>
          <w:rFonts w:eastAsia="Calibri"/>
          <w:b/>
          <w:bCs/>
          <w:szCs w:val="24"/>
          <w:lang w:val="ro-RO"/>
        </w:rPr>
        <w:t>Structuri subordonate:</w:t>
      </w:r>
    </w:p>
    <w:p w14:paraId="139B1E72" w14:textId="77777777" w:rsidR="00D530A0" w:rsidRPr="00D530A0" w:rsidRDefault="00D530A0" w:rsidP="0090056F">
      <w:pPr>
        <w:spacing w:before="120"/>
        <w:ind w:left="-567"/>
        <w:rPr>
          <w:rFonts w:eastAsia="Calibri" w:cs="Arial"/>
          <w:szCs w:val="24"/>
          <w:lang w:val="ro-RO"/>
        </w:rPr>
      </w:pPr>
      <w:r w:rsidRPr="00D530A0">
        <w:rPr>
          <w:rFonts w:eastAsia="Calibri" w:cs="Arial"/>
          <w:szCs w:val="24"/>
          <w:lang w:val="ro-RO"/>
        </w:rPr>
        <w:t>În subordinea/coordonarea/autoritatea ministerului, pe lângă cele 42 de servicii publice deconcentrate (</w:t>
      </w:r>
      <w:proofErr w:type="spellStart"/>
      <w:r w:rsidRPr="00D530A0">
        <w:rPr>
          <w:rFonts w:eastAsia="Calibri" w:cs="Arial"/>
          <w:szCs w:val="24"/>
          <w:lang w:val="ro-RO"/>
        </w:rPr>
        <w:t>direcţiile</w:t>
      </w:r>
      <w:proofErr w:type="spellEnd"/>
      <w:r w:rsidRPr="00D530A0">
        <w:rPr>
          <w:rFonts w:eastAsia="Calibri" w:cs="Arial"/>
          <w:szCs w:val="24"/>
          <w:lang w:val="ro-RO"/>
        </w:rPr>
        <w:t xml:space="preserve"> </w:t>
      </w:r>
      <w:proofErr w:type="spellStart"/>
      <w:r w:rsidRPr="00D530A0">
        <w:rPr>
          <w:rFonts w:eastAsia="Calibri" w:cs="Arial"/>
          <w:szCs w:val="24"/>
          <w:lang w:val="ro-RO"/>
        </w:rPr>
        <w:t>judeţene</w:t>
      </w:r>
      <w:proofErr w:type="spellEnd"/>
      <w:r w:rsidRPr="00D530A0">
        <w:rPr>
          <w:rFonts w:eastAsia="Calibri" w:cs="Arial"/>
          <w:szCs w:val="24"/>
          <w:lang w:val="ro-RO"/>
        </w:rPr>
        <w:t xml:space="preserve"> pentru cultură, respectiv a municipiului </w:t>
      </w:r>
      <w:proofErr w:type="spellStart"/>
      <w:r w:rsidRPr="00D530A0">
        <w:rPr>
          <w:rFonts w:eastAsia="Calibri" w:cs="Arial"/>
          <w:szCs w:val="24"/>
          <w:lang w:val="ro-RO"/>
        </w:rPr>
        <w:t>Bucureşti</w:t>
      </w:r>
      <w:proofErr w:type="spellEnd"/>
      <w:r w:rsidRPr="00D530A0">
        <w:rPr>
          <w:rFonts w:eastAsia="Calibri" w:cs="Arial"/>
          <w:szCs w:val="24"/>
          <w:lang w:val="ro-RO"/>
        </w:rPr>
        <w:t xml:space="preserve">), se află și următoarele </w:t>
      </w:r>
      <w:proofErr w:type="spellStart"/>
      <w:r w:rsidRPr="00D530A0">
        <w:rPr>
          <w:rFonts w:eastAsia="Calibri" w:cs="Arial"/>
          <w:szCs w:val="24"/>
          <w:lang w:val="ro-RO"/>
        </w:rPr>
        <w:t>instituţii</w:t>
      </w:r>
      <w:proofErr w:type="spellEnd"/>
      <w:r w:rsidRPr="00D530A0">
        <w:rPr>
          <w:rFonts w:eastAsia="Calibri" w:cs="Arial"/>
          <w:szCs w:val="24"/>
          <w:lang w:val="ro-RO"/>
        </w:rPr>
        <w:t>:</w:t>
      </w:r>
    </w:p>
    <w:p w14:paraId="2B807807" w14:textId="2E9EBDF8"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Oficiul Român pentru Drepturile de Autor</w:t>
      </w:r>
    </w:p>
    <w:p w14:paraId="7A897098" w14:textId="7570E1B8"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Centrul </w:t>
      </w:r>
      <w:proofErr w:type="spellStart"/>
      <w:r w:rsidRPr="00951F61">
        <w:rPr>
          <w:rFonts w:eastAsia="Calibri"/>
          <w:szCs w:val="24"/>
          <w:lang w:val="ro-RO"/>
        </w:rPr>
        <w:t>Naţional</w:t>
      </w:r>
      <w:proofErr w:type="spellEnd"/>
      <w:r w:rsidRPr="00951F61">
        <w:rPr>
          <w:rFonts w:eastAsia="Calibri"/>
          <w:szCs w:val="24"/>
          <w:lang w:val="ro-RO"/>
        </w:rPr>
        <w:t xml:space="preserve"> al Cinematografiei</w:t>
      </w:r>
    </w:p>
    <w:p w14:paraId="05B15F13" w14:textId="277A6F2B"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Biblioteca </w:t>
      </w:r>
      <w:proofErr w:type="spellStart"/>
      <w:r w:rsidRPr="00951F61">
        <w:rPr>
          <w:rFonts w:eastAsia="Calibri"/>
          <w:szCs w:val="24"/>
          <w:lang w:val="ro-RO"/>
        </w:rPr>
        <w:t>Naţională</w:t>
      </w:r>
      <w:proofErr w:type="spellEnd"/>
      <w:r w:rsidRPr="00951F61">
        <w:rPr>
          <w:rFonts w:eastAsia="Calibri"/>
          <w:szCs w:val="24"/>
          <w:lang w:val="ro-RO"/>
        </w:rPr>
        <w:t xml:space="preserve"> a României</w:t>
      </w:r>
    </w:p>
    <w:p w14:paraId="00990617" w14:textId="56851739"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Muzeul </w:t>
      </w:r>
      <w:proofErr w:type="spellStart"/>
      <w:r w:rsidRPr="00951F61">
        <w:rPr>
          <w:rFonts w:eastAsia="Calibri"/>
          <w:szCs w:val="24"/>
          <w:lang w:val="ro-RO"/>
        </w:rPr>
        <w:t>Naţional</w:t>
      </w:r>
      <w:proofErr w:type="spellEnd"/>
      <w:r w:rsidRPr="00951F61">
        <w:rPr>
          <w:rFonts w:eastAsia="Calibri"/>
          <w:szCs w:val="24"/>
          <w:lang w:val="ro-RO"/>
        </w:rPr>
        <w:t xml:space="preserve"> de Artă al României</w:t>
      </w:r>
    </w:p>
    <w:p w14:paraId="098B5DF3" w14:textId="60E738DD"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Muzeul </w:t>
      </w:r>
      <w:proofErr w:type="spellStart"/>
      <w:r w:rsidRPr="00951F61">
        <w:rPr>
          <w:rFonts w:eastAsia="Calibri"/>
          <w:szCs w:val="24"/>
          <w:lang w:val="ro-RO"/>
        </w:rPr>
        <w:t>Naţional</w:t>
      </w:r>
      <w:proofErr w:type="spellEnd"/>
      <w:r w:rsidRPr="00951F61">
        <w:rPr>
          <w:rFonts w:eastAsia="Calibri"/>
          <w:szCs w:val="24"/>
          <w:lang w:val="ro-RO"/>
        </w:rPr>
        <w:t xml:space="preserve"> de Artă Contemporană al României</w:t>
      </w:r>
    </w:p>
    <w:p w14:paraId="429FF298" w14:textId="25549ABC"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Muzeul </w:t>
      </w:r>
      <w:proofErr w:type="spellStart"/>
      <w:r w:rsidRPr="00951F61">
        <w:rPr>
          <w:rFonts w:eastAsia="Calibri"/>
          <w:szCs w:val="24"/>
          <w:lang w:val="ro-RO"/>
        </w:rPr>
        <w:t>Naţional</w:t>
      </w:r>
      <w:proofErr w:type="spellEnd"/>
      <w:r w:rsidRPr="00951F61">
        <w:rPr>
          <w:rFonts w:eastAsia="Calibri"/>
          <w:szCs w:val="24"/>
          <w:lang w:val="ro-RO"/>
        </w:rPr>
        <w:t xml:space="preserve"> al </w:t>
      </w:r>
      <w:proofErr w:type="spellStart"/>
      <w:r w:rsidRPr="00951F61">
        <w:rPr>
          <w:rFonts w:eastAsia="Calibri"/>
          <w:szCs w:val="24"/>
          <w:lang w:val="ro-RO"/>
        </w:rPr>
        <w:t>Hărţilor</w:t>
      </w:r>
      <w:proofErr w:type="spellEnd"/>
      <w:r w:rsidRPr="00951F61">
        <w:rPr>
          <w:rFonts w:eastAsia="Calibri"/>
          <w:szCs w:val="24"/>
          <w:lang w:val="ro-RO"/>
        </w:rPr>
        <w:t xml:space="preserve"> </w:t>
      </w:r>
      <w:proofErr w:type="spellStart"/>
      <w:r w:rsidRPr="00951F61">
        <w:rPr>
          <w:rFonts w:eastAsia="Calibri"/>
          <w:szCs w:val="24"/>
          <w:lang w:val="ro-RO"/>
        </w:rPr>
        <w:t>şi</w:t>
      </w:r>
      <w:proofErr w:type="spellEnd"/>
      <w:r w:rsidRPr="00951F61">
        <w:rPr>
          <w:rFonts w:eastAsia="Calibri"/>
          <w:szCs w:val="24"/>
          <w:lang w:val="ro-RO"/>
        </w:rPr>
        <w:t xml:space="preserve"> </w:t>
      </w:r>
      <w:proofErr w:type="spellStart"/>
      <w:r w:rsidRPr="00951F61">
        <w:rPr>
          <w:rFonts w:eastAsia="Calibri"/>
          <w:szCs w:val="24"/>
          <w:lang w:val="ro-RO"/>
        </w:rPr>
        <w:t>Cărţii</w:t>
      </w:r>
      <w:proofErr w:type="spellEnd"/>
      <w:r w:rsidRPr="00951F61">
        <w:rPr>
          <w:rFonts w:eastAsia="Calibri"/>
          <w:szCs w:val="24"/>
          <w:lang w:val="ro-RO"/>
        </w:rPr>
        <w:t xml:space="preserve"> Vechi</w:t>
      </w:r>
    </w:p>
    <w:p w14:paraId="0D2A82DB" w14:textId="07F62A60"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Muzeului </w:t>
      </w:r>
      <w:proofErr w:type="spellStart"/>
      <w:r w:rsidRPr="00951F61">
        <w:rPr>
          <w:rFonts w:eastAsia="Calibri"/>
          <w:szCs w:val="24"/>
          <w:lang w:val="ro-RO"/>
        </w:rPr>
        <w:t>Naţional</w:t>
      </w:r>
      <w:proofErr w:type="spellEnd"/>
      <w:r w:rsidRPr="00951F61">
        <w:rPr>
          <w:rFonts w:eastAsia="Calibri"/>
          <w:szCs w:val="24"/>
          <w:lang w:val="ro-RO"/>
        </w:rPr>
        <w:t xml:space="preserve"> de Istorie a României din </w:t>
      </w:r>
      <w:proofErr w:type="spellStart"/>
      <w:r w:rsidRPr="00951F61">
        <w:rPr>
          <w:rFonts w:eastAsia="Calibri"/>
          <w:szCs w:val="24"/>
          <w:lang w:val="ro-RO"/>
        </w:rPr>
        <w:t>Bucureşti</w:t>
      </w:r>
      <w:proofErr w:type="spellEnd"/>
    </w:p>
    <w:p w14:paraId="32EACE3F" w14:textId="1C5477B7"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Muzeul </w:t>
      </w:r>
      <w:proofErr w:type="spellStart"/>
      <w:r w:rsidRPr="00951F61">
        <w:rPr>
          <w:rFonts w:eastAsia="Calibri"/>
          <w:szCs w:val="24"/>
          <w:lang w:val="ro-RO"/>
        </w:rPr>
        <w:t>Naţional</w:t>
      </w:r>
      <w:proofErr w:type="spellEnd"/>
      <w:r w:rsidRPr="00951F61">
        <w:rPr>
          <w:rFonts w:eastAsia="Calibri"/>
          <w:szCs w:val="24"/>
          <w:lang w:val="ro-RO"/>
        </w:rPr>
        <w:t xml:space="preserve"> „Brukenthal” Sibiu</w:t>
      </w:r>
    </w:p>
    <w:p w14:paraId="74F713AF" w14:textId="5AF0C45B"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Muzeul </w:t>
      </w:r>
      <w:proofErr w:type="spellStart"/>
      <w:r w:rsidRPr="00951F61">
        <w:rPr>
          <w:rFonts w:eastAsia="Calibri"/>
          <w:szCs w:val="24"/>
          <w:lang w:val="ro-RO"/>
        </w:rPr>
        <w:t>Naţional</w:t>
      </w:r>
      <w:proofErr w:type="spellEnd"/>
      <w:r w:rsidRPr="00951F61">
        <w:rPr>
          <w:rFonts w:eastAsia="Calibri"/>
          <w:szCs w:val="24"/>
          <w:lang w:val="ro-RO"/>
        </w:rPr>
        <w:t xml:space="preserve"> „ </w:t>
      </w:r>
      <w:proofErr w:type="spellStart"/>
      <w:r w:rsidRPr="00951F61">
        <w:rPr>
          <w:rFonts w:eastAsia="Calibri"/>
          <w:szCs w:val="24"/>
          <w:lang w:val="ro-RO"/>
        </w:rPr>
        <w:t>Peleş</w:t>
      </w:r>
      <w:proofErr w:type="spellEnd"/>
      <w:r w:rsidRPr="00951F61">
        <w:rPr>
          <w:rFonts w:eastAsia="Calibri"/>
          <w:szCs w:val="24"/>
          <w:lang w:val="ro-RO"/>
        </w:rPr>
        <w:t>” Sinaia</w:t>
      </w:r>
    </w:p>
    <w:p w14:paraId="45BB27BF" w14:textId="111DD1B9"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lastRenderedPageBreak/>
        <w:t xml:space="preserve">Muzeul </w:t>
      </w:r>
      <w:proofErr w:type="spellStart"/>
      <w:r w:rsidRPr="00951F61">
        <w:rPr>
          <w:rFonts w:eastAsia="Calibri"/>
          <w:szCs w:val="24"/>
          <w:lang w:val="ro-RO"/>
        </w:rPr>
        <w:t>Naţional</w:t>
      </w:r>
      <w:proofErr w:type="spellEnd"/>
      <w:r w:rsidRPr="00951F61">
        <w:rPr>
          <w:rFonts w:eastAsia="Calibri"/>
          <w:szCs w:val="24"/>
          <w:lang w:val="ro-RO"/>
        </w:rPr>
        <w:t xml:space="preserve"> al Satului „Dimitrie Gusti”</w:t>
      </w:r>
    </w:p>
    <w:p w14:paraId="37F097F0" w14:textId="675E44C2"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Muzeul </w:t>
      </w:r>
      <w:proofErr w:type="spellStart"/>
      <w:r w:rsidRPr="00951F61">
        <w:rPr>
          <w:rFonts w:eastAsia="Calibri"/>
          <w:szCs w:val="24"/>
          <w:lang w:val="ro-RO"/>
        </w:rPr>
        <w:t>Naţional</w:t>
      </w:r>
      <w:proofErr w:type="spellEnd"/>
      <w:r w:rsidRPr="00951F61">
        <w:rPr>
          <w:rFonts w:eastAsia="Calibri"/>
          <w:szCs w:val="24"/>
          <w:lang w:val="ro-RO"/>
        </w:rPr>
        <w:t xml:space="preserve"> al </w:t>
      </w:r>
      <w:proofErr w:type="spellStart"/>
      <w:r w:rsidRPr="00951F61">
        <w:rPr>
          <w:rFonts w:eastAsia="Calibri"/>
          <w:szCs w:val="24"/>
          <w:lang w:val="ro-RO"/>
        </w:rPr>
        <w:t>Ţăranului</w:t>
      </w:r>
      <w:proofErr w:type="spellEnd"/>
      <w:r w:rsidRPr="00951F61">
        <w:rPr>
          <w:rFonts w:eastAsia="Calibri"/>
          <w:szCs w:val="24"/>
          <w:lang w:val="ro-RO"/>
        </w:rPr>
        <w:t xml:space="preserve"> Român din </w:t>
      </w:r>
      <w:proofErr w:type="spellStart"/>
      <w:r w:rsidRPr="00951F61">
        <w:rPr>
          <w:rFonts w:eastAsia="Calibri"/>
          <w:szCs w:val="24"/>
          <w:lang w:val="ro-RO"/>
        </w:rPr>
        <w:t>Bucureşti</w:t>
      </w:r>
      <w:proofErr w:type="spellEnd"/>
    </w:p>
    <w:p w14:paraId="2401ABF4" w14:textId="64E4F745"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Muzeul </w:t>
      </w:r>
      <w:proofErr w:type="spellStart"/>
      <w:r w:rsidRPr="00951F61">
        <w:rPr>
          <w:rFonts w:eastAsia="Calibri"/>
          <w:szCs w:val="24"/>
          <w:lang w:val="ro-RO"/>
        </w:rPr>
        <w:t>Naţional</w:t>
      </w:r>
      <w:proofErr w:type="spellEnd"/>
      <w:r w:rsidRPr="00951F61">
        <w:rPr>
          <w:rFonts w:eastAsia="Calibri"/>
          <w:szCs w:val="24"/>
          <w:lang w:val="ro-RO"/>
        </w:rPr>
        <w:t xml:space="preserve"> Bran</w:t>
      </w:r>
    </w:p>
    <w:p w14:paraId="6F2E7A57" w14:textId="6FA9D319"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Muzeul </w:t>
      </w:r>
      <w:proofErr w:type="spellStart"/>
      <w:r w:rsidRPr="00951F61">
        <w:rPr>
          <w:rFonts w:eastAsia="Calibri"/>
          <w:szCs w:val="24"/>
          <w:lang w:val="ro-RO"/>
        </w:rPr>
        <w:t>Naţional</w:t>
      </w:r>
      <w:proofErr w:type="spellEnd"/>
      <w:r w:rsidRPr="00951F61">
        <w:rPr>
          <w:rFonts w:eastAsia="Calibri"/>
          <w:szCs w:val="24"/>
          <w:lang w:val="ro-RO"/>
        </w:rPr>
        <w:t xml:space="preserve"> de Istorie a Transilvaniei din Cluj-Napoca</w:t>
      </w:r>
    </w:p>
    <w:p w14:paraId="65185F7A" w14:textId="52FCFB09"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Complexul Muzeal </w:t>
      </w:r>
      <w:proofErr w:type="spellStart"/>
      <w:r w:rsidRPr="00951F61">
        <w:rPr>
          <w:rFonts w:eastAsia="Calibri"/>
          <w:szCs w:val="24"/>
          <w:lang w:val="ro-RO"/>
        </w:rPr>
        <w:t>Naţional</w:t>
      </w:r>
      <w:proofErr w:type="spellEnd"/>
      <w:r w:rsidRPr="00951F61">
        <w:rPr>
          <w:rFonts w:eastAsia="Calibri"/>
          <w:szCs w:val="24"/>
          <w:lang w:val="ro-RO"/>
        </w:rPr>
        <w:t xml:space="preserve"> „Moldova” </w:t>
      </w:r>
      <w:proofErr w:type="spellStart"/>
      <w:r w:rsidRPr="00951F61">
        <w:rPr>
          <w:rFonts w:eastAsia="Calibri"/>
          <w:szCs w:val="24"/>
          <w:lang w:val="ro-RO"/>
        </w:rPr>
        <w:t>Iaşi</w:t>
      </w:r>
      <w:proofErr w:type="spellEnd"/>
    </w:p>
    <w:p w14:paraId="7313BF88" w14:textId="6275C6D6"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Muzeul </w:t>
      </w:r>
      <w:proofErr w:type="spellStart"/>
      <w:r w:rsidRPr="00951F61">
        <w:rPr>
          <w:rFonts w:eastAsia="Calibri"/>
          <w:szCs w:val="24"/>
          <w:lang w:val="ro-RO"/>
        </w:rPr>
        <w:t>Naţional</w:t>
      </w:r>
      <w:proofErr w:type="spellEnd"/>
      <w:r w:rsidRPr="00951F61">
        <w:rPr>
          <w:rFonts w:eastAsia="Calibri"/>
          <w:szCs w:val="24"/>
          <w:lang w:val="ro-RO"/>
        </w:rPr>
        <w:t xml:space="preserve"> al </w:t>
      </w:r>
      <w:proofErr w:type="spellStart"/>
      <w:r w:rsidRPr="00951F61">
        <w:rPr>
          <w:rFonts w:eastAsia="Calibri"/>
          <w:szCs w:val="24"/>
          <w:lang w:val="ro-RO"/>
        </w:rPr>
        <w:t>Carpaţilor</w:t>
      </w:r>
      <w:proofErr w:type="spellEnd"/>
      <w:r w:rsidRPr="00951F61">
        <w:rPr>
          <w:rFonts w:eastAsia="Calibri"/>
          <w:szCs w:val="24"/>
          <w:lang w:val="ro-RO"/>
        </w:rPr>
        <w:t xml:space="preserve"> Răsăriteni</w:t>
      </w:r>
    </w:p>
    <w:p w14:paraId="57A7BA0B" w14:textId="2E927D7C"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Muzeul </w:t>
      </w:r>
      <w:proofErr w:type="spellStart"/>
      <w:r w:rsidRPr="00951F61">
        <w:rPr>
          <w:rFonts w:eastAsia="Calibri"/>
          <w:szCs w:val="24"/>
          <w:lang w:val="ro-RO"/>
        </w:rPr>
        <w:t>Naţional</w:t>
      </w:r>
      <w:proofErr w:type="spellEnd"/>
      <w:r w:rsidRPr="00951F61">
        <w:rPr>
          <w:rFonts w:eastAsia="Calibri"/>
          <w:szCs w:val="24"/>
          <w:lang w:val="ro-RO"/>
        </w:rPr>
        <w:t xml:space="preserve"> de Istorie Naturală „Grigore Antipa”</w:t>
      </w:r>
    </w:p>
    <w:p w14:paraId="589918BA" w14:textId="2C154324"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Muzeul de Artă „Vasile Grigore - pictor </w:t>
      </w:r>
      <w:proofErr w:type="spellStart"/>
      <w:r w:rsidRPr="00951F61">
        <w:rPr>
          <w:rFonts w:eastAsia="Calibri"/>
          <w:szCs w:val="24"/>
          <w:lang w:val="ro-RO"/>
        </w:rPr>
        <w:t>şi</w:t>
      </w:r>
      <w:proofErr w:type="spellEnd"/>
      <w:r w:rsidRPr="00951F61">
        <w:rPr>
          <w:rFonts w:eastAsia="Calibri"/>
          <w:szCs w:val="24"/>
          <w:lang w:val="ro-RO"/>
        </w:rPr>
        <w:t xml:space="preserve"> </w:t>
      </w:r>
      <w:proofErr w:type="spellStart"/>
      <w:r w:rsidRPr="00951F61">
        <w:rPr>
          <w:rFonts w:eastAsia="Calibri"/>
          <w:szCs w:val="24"/>
          <w:lang w:val="ro-RO"/>
        </w:rPr>
        <w:t>colecţionar</w:t>
      </w:r>
      <w:proofErr w:type="spellEnd"/>
      <w:r w:rsidRPr="00951F61">
        <w:rPr>
          <w:rFonts w:eastAsia="Calibri"/>
          <w:szCs w:val="24"/>
          <w:lang w:val="ro-RO"/>
        </w:rPr>
        <w:t>”</w:t>
      </w:r>
    </w:p>
    <w:p w14:paraId="04568485" w14:textId="49B9CBFA"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Muzeul </w:t>
      </w:r>
      <w:proofErr w:type="spellStart"/>
      <w:r w:rsidRPr="00951F61">
        <w:rPr>
          <w:rFonts w:eastAsia="Calibri"/>
          <w:szCs w:val="24"/>
          <w:lang w:val="ro-RO"/>
        </w:rPr>
        <w:t>Naţional</w:t>
      </w:r>
      <w:proofErr w:type="spellEnd"/>
      <w:r w:rsidRPr="00951F61">
        <w:rPr>
          <w:rFonts w:eastAsia="Calibri"/>
          <w:szCs w:val="24"/>
          <w:lang w:val="ro-RO"/>
        </w:rPr>
        <w:t xml:space="preserve">  „George Enescu” din </w:t>
      </w:r>
      <w:proofErr w:type="spellStart"/>
      <w:r w:rsidRPr="00951F61">
        <w:rPr>
          <w:rFonts w:eastAsia="Calibri"/>
          <w:szCs w:val="24"/>
          <w:lang w:val="ro-RO"/>
        </w:rPr>
        <w:t>Bucureşti</w:t>
      </w:r>
      <w:proofErr w:type="spellEnd"/>
    </w:p>
    <w:p w14:paraId="062699D8" w14:textId="31C8E304"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Muzeul </w:t>
      </w:r>
      <w:proofErr w:type="spellStart"/>
      <w:r w:rsidRPr="00951F61">
        <w:rPr>
          <w:rFonts w:eastAsia="Calibri"/>
          <w:szCs w:val="24"/>
          <w:lang w:val="ro-RO"/>
        </w:rPr>
        <w:t>Naţional</w:t>
      </w:r>
      <w:proofErr w:type="spellEnd"/>
      <w:r w:rsidRPr="00951F61">
        <w:rPr>
          <w:rFonts w:eastAsia="Calibri"/>
          <w:szCs w:val="24"/>
          <w:lang w:val="ro-RO"/>
        </w:rPr>
        <w:t xml:space="preserve"> „</w:t>
      </w:r>
      <w:proofErr w:type="spellStart"/>
      <w:r w:rsidRPr="00951F61">
        <w:rPr>
          <w:rFonts w:eastAsia="Calibri"/>
          <w:szCs w:val="24"/>
          <w:lang w:val="ro-RO"/>
        </w:rPr>
        <w:t>Brâncuşi</w:t>
      </w:r>
      <w:proofErr w:type="spellEnd"/>
      <w:r w:rsidRPr="00951F61">
        <w:rPr>
          <w:rFonts w:eastAsia="Calibri"/>
          <w:szCs w:val="24"/>
          <w:lang w:val="ro-RO"/>
        </w:rPr>
        <w:t>”</w:t>
      </w:r>
    </w:p>
    <w:p w14:paraId="11E89770" w14:textId="7956FB76"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Muzeul </w:t>
      </w:r>
      <w:proofErr w:type="spellStart"/>
      <w:r w:rsidRPr="00951F61">
        <w:rPr>
          <w:rFonts w:eastAsia="Calibri"/>
          <w:szCs w:val="24"/>
          <w:lang w:val="ro-RO"/>
        </w:rPr>
        <w:t>Naţional</w:t>
      </w:r>
      <w:proofErr w:type="spellEnd"/>
      <w:r w:rsidRPr="00951F61">
        <w:rPr>
          <w:rFonts w:eastAsia="Calibri"/>
          <w:szCs w:val="24"/>
          <w:lang w:val="ro-RO"/>
        </w:rPr>
        <w:t xml:space="preserve"> „Brătianu”</w:t>
      </w:r>
    </w:p>
    <w:p w14:paraId="23065E5C" w14:textId="0B716B57"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Muzeul Ororilor Comunismului în România </w:t>
      </w:r>
    </w:p>
    <w:p w14:paraId="465EAB84" w14:textId="68B8CC19"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Teatrul </w:t>
      </w:r>
      <w:proofErr w:type="spellStart"/>
      <w:r w:rsidRPr="00951F61">
        <w:rPr>
          <w:rFonts w:eastAsia="Calibri"/>
          <w:szCs w:val="24"/>
          <w:lang w:val="ro-RO"/>
        </w:rPr>
        <w:t>Naţional</w:t>
      </w:r>
      <w:proofErr w:type="spellEnd"/>
      <w:r w:rsidRPr="00951F61">
        <w:rPr>
          <w:rFonts w:eastAsia="Calibri"/>
          <w:szCs w:val="24"/>
          <w:lang w:val="ro-RO"/>
        </w:rPr>
        <w:t xml:space="preserve"> „I.L. Caragiale” din </w:t>
      </w:r>
      <w:proofErr w:type="spellStart"/>
      <w:r w:rsidRPr="00951F61">
        <w:rPr>
          <w:rFonts w:eastAsia="Calibri"/>
          <w:szCs w:val="24"/>
          <w:lang w:val="ro-RO"/>
        </w:rPr>
        <w:t>Bucureşti</w:t>
      </w:r>
      <w:proofErr w:type="spellEnd"/>
    </w:p>
    <w:p w14:paraId="38E6B45B" w14:textId="3D68A103"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Teatrul </w:t>
      </w:r>
      <w:proofErr w:type="spellStart"/>
      <w:r w:rsidRPr="00951F61">
        <w:rPr>
          <w:rFonts w:eastAsia="Calibri"/>
          <w:szCs w:val="24"/>
          <w:lang w:val="ro-RO"/>
        </w:rPr>
        <w:t>Naţional</w:t>
      </w:r>
      <w:proofErr w:type="spellEnd"/>
      <w:r w:rsidRPr="00951F61">
        <w:rPr>
          <w:rFonts w:eastAsia="Calibri"/>
          <w:szCs w:val="24"/>
          <w:lang w:val="ro-RO"/>
        </w:rPr>
        <w:t xml:space="preserve"> „Lucian Blaga” din Cluj-Napoca</w:t>
      </w:r>
    </w:p>
    <w:p w14:paraId="05A1D2E4" w14:textId="19FF8083"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Teatrul </w:t>
      </w:r>
      <w:proofErr w:type="spellStart"/>
      <w:r w:rsidRPr="00951F61">
        <w:rPr>
          <w:rFonts w:eastAsia="Calibri"/>
          <w:szCs w:val="24"/>
          <w:lang w:val="ro-RO"/>
        </w:rPr>
        <w:t>Naţional</w:t>
      </w:r>
      <w:proofErr w:type="spellEnd"/>
      <w:r w:rsidRPr="00951F61">
        <w:rPr>
          <w:rFonts w:eastAsia="Calibri"/>
          <w:szCs w:val="24"/>
          <w:lang w:val="ro-RO"/>
        </w:rPr>
        <w:t xml:space="preserve"> „Vasile Alecsandri” din </w:t>
      </w:r>
      <w:proofErr w:type="spellStart"/>
      <w:r w:rsidRPr="00951F61">
        <w:rPr>
          <w:rFonts w:eastAsia="Calibri"/>
          <w:szCs w:val="24"/>
          <w:lang w:val="ro-RO"/>
        </w:rPr>
        <w:t>Iaşi</w:t>
      </w:r>
      <w:proofErr w:type="spellEnd"/>
    </w:p>
    <w:p w14:paraId="2C242169" w14:textId="0401FD25"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Teatrul </w:t>
      </w:r>
      <w:proofErr w:type="spellStart"/>
      <w:r w:rsidRPr="00951F61">
        <w:rPr>
          <w:rFonts w:eastAsia="Calibri"/>
          <w:szCs w:val="24"/>
          <w:lang w:val="ro-RO"/>
        </w:rPr>
        <w:t>Naţional</w:t>
      </w:r>
      <w:proofErr w:type="spellEnd"/>
      <w:r w:rsidRPr="00951F61">
        <w:rPr>
          <w:rFonts w:eastAsia="Calibri"/>
          <w:szCs w:val="24"/>
          <w:lang w:val="ro-RO"/>
        </w:rPr>
        <w:t xml:space="preserve"> "Mihai Eminescu" din </w:t>
      </w:r>
      <w:proofErr w:type="spellStart"/>
      <w:r w:rsidRPr="00951F61">
        <w:rPr>
          <w:rFonts w:eastAsia="Calibri"/>
          <w:szCs w:val="24"/>
          <w:lang w:val="ro-RO"/>
        </w:rPr>
        <w:t>Timişoara</w:t>
      </w:r>
      <w:proofErr w:type="spellEnd"/>
    </w:p>
    <w:p w14:paraId="02958BB1" w14:textId="77777777" w:rsid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Teatrul </w:t>
      </w:r>
      <w:proofErr w:type="spellStart"/>
      <w:r w:rsidRPr="00951F61">
        <w:rPr>
          <w:rFonts w:eastAsia="Calibri"/>
          <w:szCs w:val="24"/>
          <w:lang w:val="ro-RO"/>
        </w:rPr>
        <w:t>Naţional</w:t>
      </w:r>
      <w:proofErr w:type="spellEnd"/>
      <w:r w:rsidRPr="00951F61">
        <w:rPr>
          <w:rFonts w:eastAsia="Calibri"/>
          <w:szCs w:val="24"/>
          <w:lang w:val="ro-RO"/>
        </w:rPr>
        <w:t xml:space="preserve"> „Marin Sorescu” din Craiova</w:t>
      </w:r>
    </w:p>
    <w:p w14:paraId="6A542C32" w14:textId="6AEF8A32"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Teatrul </w:t>
      </w:r>
      <w:proofErr w:type="spellStart"/>
      <w:r w:rsidRPr="00951F61">
        <w:rPr>
          <w:rFonts w:eastAsia="Calibri"/>
          <w:szCs w:val="24"/>
          <w:lang w:val="ro-RO"/>
        </w:rPr>
        <w:t>Naţional</w:t>
      </w:r>
      <w:proofErr w:type="spellEnd"/>
      <w:r w:rsidRPr="00951F61">
        <w:rPr>
          <w:rFonts w:eastAsia="Calibri"/>
          <w:szCs w:val="24"/>
          <w:lang w:val="ro-RO"/>
        </w:rPr>
        <w:t xml:space="preserve"> din Târgu </w:t>
      </w:r>
      <w:proofErr w:type="spellStart"/>
      <w:r w:rsidRPr="00951F61">
        <w:rPr>
          <w:rFonts w:eastAsia="Calibri"/>
          <w:szCs w:val="24"/>
          <w:lang w:val="ro-RO"/>
        </w:rPr>
        <w:t>Mureş</w:t>
      </w:r>
      <w:proofErr w:type="spellEnd"/>
    </w:p>
    <w:p w14:paraId="3A306F47" w14:textId="77777777"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Teatrul Maghiar de Stat din Cluj-Napoca</w:t>
      </w:r>
    </w:p>
    <w:p w14:paraId="6F29CCF5" w14:textId="1C0798E7"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Teatrul Național de Operetă și Musical ”Ion Dacian” </w:t>
      </w:r>
    </w:p>
    <w:p w14:paraId="31A8CEDD" w14:textId="66ADA54B"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Teatrul Muzical „Ambasadorii”</w:t>
      </w:r>
    </w:p>
    <w:p w14:paraId="3414B181" w14:textId="0E015983"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Opera </w:t>
      </w:r>
      <w:proofErr w:type="spellStart"/>
      <w:r w:rsidRPr="00951F61">
        <w:rPr>
          <w:rFonts w:eastAsia="Calibri"/>
          <w:szCs w:val="24"/>
          <w:lang w:val="ro-RO"/>
        </w:rPr>
        <w:t>Naţională</w:t>
      </w:r>
      <w:proofErr w:type="spellEnd"/>
      <w:r w:rsidRPr="00951F61">
        <w:rPr>
          <w:rFonts w:eastAsia="Calibri"/>
          <w:szCs w:val="24"/>
          <w:lang w:val="ro-RO"/>
        </w:rPr>
        <w:t xml:space="preserve"> </w:t>
      </w:r>
      <w:proofErr w:type="spellStart"/>
      <w:r w:rsidRPr="00951F61">
        <w:rPr>
          <w:rFonts w:eastAsia="Calibri"/>
          <w:szCs w:val="24"/>
          <w:lang w:val="ro-RO"/>
        </w:rPr>
        <w:t>Bucureşti</w:t>
      </w:r>
      <w:proofErr w:type="spellEnd"/>
    </w:p>
    <w:p w14:paraId="18EA64B4" w14:textId="4758DCBD"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Opera </w:t>
      </w:r>
      <w:proofErr w:type="spellStart"/>
      <w:r w:rsidRPr="00951F61">
        <w:rPr>
          <w:rFonts w:eastAsia="Calibri"/>
          <w:szCs w:val="24"/>
          <w:lang w:val="ro-RO"/>
        </w:rPr>
        <w:t>Naţională</w:t>
      </w:r>
      <w:proofErr w:type="spellEnd"/>
      <w:r w:rsidRPr="00951F61">
        <w:rPr>
          <w:rFonts w:eastAsia="Calibri"/>
          <w:szCs w:val="24"/>
          <w:lang w:val="ro-RO"/>
        </w:rPr>
        <w:t xml:space="preserve"> Română din Cluj-Napoca</w:t>
      </w:r>
    </w:p>
    <w:p w14:paraId="732601C3" w14:textId="089A95BC"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Opera Maghiară din Cluj-Napoca</w:t>
      </w:r>
    </w:p>
    <w:p w14:paraId="141E94C5" w14:textId="0589265C"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Opera </w:t>
      </w:r>
      <w:proofErr w:type="spellStart"/>
      <w:r w:rsidRPr="00951F61">
        <w:rPr>
          <w:rFonts w:eastAsia="Calibri"/>
          <w:szCs w:val="24"/>
          <w:lang w:val="ro-RO"/>
        </w:rPr>
        <w:t>Naţională</w:t>
      </w:r>
      <w:proofErr w:type="spellEnd"/>
      <w:r w:rsidRPr="00951F61">
        <w:rPr>
          <w:rFonts w:eastAsia="Calibri"/>
          <w:szCs w:val="24"/>
          <w:lang w:val="ro-RO"/>
        </w:rPr>
        <w:t xml:space="preserve"> Română din </w:t>
      </w:r>
      <w:proofErr w:type="spellStart"/>
      <w:r w:rsidRPr="00951F61">
        <w:rPr>
          <w:rFonts w:eastAsia="Calibri"/>
          <w:szCs w:val="24"/>
          <w:lang w:val="ro-RO"/>
        </w:rPr>
        <w:t>Iaşi</w:t>
      </w:r>
      <w:proofErr w:type="spellEnd"/>
    </w:p>
    <w:p w14:paraId="743E1803" w14:textId="116DDD90"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Opera </w:t>
      </w:r>
      <w:proofErr w:type="spellStart"/>
      <w:r w:rsidRPr="00951F61">
        <w:rPr>
          <w:rFonts w:eastAsia="Calibri"/>
          <w:szCs w:val="24"/>
          <w:lang w:val="ro-RO"/>
        </w:rPr>
        <w:t>Naţională</w:t>
      </w:r>
      <w:proofErr w:type="spellEnd"/>
      <w:r w:rsidRPr="00951F61">
        <w:rPr>
          <w:rFonts w:eastAsia="Calibri"/>
          <w:szCs w:val="24"/>
          <w:lang w:val="ro-RO"/>
        </w:rPr>
        <w:t xml:space="preserve"> Română din </w:t>
      </w:r>
      <w:proofErr w:type="spellStart"/>
      <w:r w:rsidRPr="00951F61">
        <w:rPr>
          <w:rFonts w:eastAsia="Calibri"/>
          <w:szCs w:val="24"/>
          <w:lang w:val="ro-RO"/>
        </w:rPr>
        <w:t>Timişoara</w:t>
      </w:r>
      <w:proofErr w:type="spellEnd"/>
    </w:p>
    <w:p w14:paraId="0D2C321D" w14:textId="2D6298CB"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Teatrul </w:t>
      </w:r>
      <w:proofErr w:type="spellStart"/>
      <w:r w:rsidRPr="00951F61">
        <w:rPr>
          <w:rFonts w:eastAsia="Calibri"/>
          <w:szCs w:val="24"/>
          <w:lang w:val="ro-RO"/>
        </w:rPr>
        <w:t>Naţional</w:t>
      </w:r>
      <w:proofErr w:type="spellEnd"/>
      <w:r w:rsidRPr="00951F61">
        <w:rPr>
          <w:rFonts w:eastAsia="Calibri"/>
          <w:szCs w:val="24"/>
          <w:lang w:val="ro-RO"/>
        </w:rPr>
        <w:t xml:space="preserve"> de Operă </w:t>
      </w:r>
      <w:proofErr w:type="spellStart"/>
      <w:r w:rsidRPr="00951F61">
        <w:rPr>
          <w:rFonts w:eastAsia="Calibri"/>
          <w:szCs w:val="24"/>
          <w:lang w:val="ro-RO"/>
        </w:rPr>
        <w:t>şi</w:t>
      </w:r>
      <w:proofErr w:type="spellEnd"/>
      <w:r w:rsidRPr="00951F61">
        <w:rPr>
          <w:rFonts w:eastAsia="Calibri"/>
          <w:szCs w:val="24"/>
          <w:lang w:val="ro-RO"/>
        </w:rPr>
        <w:t xml:space="preserve"> Balet „Oleg Danovski” din </w:t>
      </w:r>
      <w:proofErr w:type="spellStart"/>
      <w:r w:rsidRPr="00951F61">
        <w:rPr>
          <w:rFonts w:eastAsia="Calibri"/>
          <w:szCs w:val="24"/>
          <w:lang w:val="ro-RO"/>
        </w:rPr>
        <w:t>Constanţa</w:t>
      </w:r>
      <w:proofErr w:type="spellEnd"/>
    </w:p>
    <w:p w14:paraId="738B424C" w14:textId="1EC9195D"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Filarmonica „George Enescu”</w:t>
      </w:r>
    </w:p>
    <w:p w14:paraId="407B4D8D" w14:textId="59953200"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Corul </w:t>
      </w:r>
      <w:proofErr w:type="spellStart"/>
      <w:r w:rsidRPr="00951F61">
        <w:rPr>
          <w:rFonts w:eastAsia="Calibri"/>
          <w:szCs w:val="24"/>
          <w:lang w:val="ro-RO"/>
        </w:rPr>
        <w:t>Naţional</w:t>
      </w:r>
      <w:proofErr w:type="spellEnd"/>
      <w:r w:rsidRPr="00951F61">
        <w:rPr>
          <w:rFonts w:eastAsia="Calibri"/>
          <w:szCs w:val="24"/>
          <w:lang w:val="ro-RO"/>
        </w:rPr>
        <w:t xml:space="preserve"> de Cameră “Madrigal – Marin Constantin”</w:t>
      </w:r>
    </w:p>
    <w:p w14:paraId="555B0272" w14:textId="432B9F59"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Centrul </w:t>
      </w:r>
      <w:proofErr w:type="spellStart"/>
      <w:r w:rsidRPr="00951F61">
        <w:rPr>
          <w:rFonts w:eastAsia="Calibri"/>
          <w:szCs w:val="24"/>
          <w:lang w:val="ro-RO"/>
        </w:rPr>
        <w:t>Naţional</w:t>
      </w:r>
      <w:proofErr w:type="spellEnd"/>
      <w:r w:rsidRPr="00951F61">
        <w:rPr>
          <w:rFonts w:eastAsia="Calibri"/>
          <w:szCs w:val="24"/>
          <w:lang w:val="ro-RO"/>
        </w:rPr>
        <w:t xml:space="preserve"> al Dansului </w:t>
      </w:r>
      <w:proofErr w:type="spellStart"/>
      <w:r w:rsidRPr="00951F61">
        <w:rPr>
          <w:rFonts w:eastAsia="Calibri"/>
          <w:szCs w:val="24"/>
          <w:lang w:val="ro-RO"/>
        </w:rPr>
        <w:t>Bucureşti</w:t>
      </w:r>
      <w:proofErr w:type="spellEnd"/>
    </w:p>
    <w:p w14:paraId="1F79C2A8" w14:textId="2AE82283"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Centrul </w:t>
      </w:r>
      <w:proofErr w:type="spellStart"/>
      <w:r w:rsidRPr="00951F61">
        <w:rPr>
          <w:rFonts w:eastAsia="Calibri"/>
          <w:szCs w:val="24"/>
          <w:lang w:val="ro-RO"/>
        </w:rPr>
        <w:t>Naţional</w:t>
      </w:r>
      <w:proofErr w:type="spellEnd"/>
      <w:r w:rsidRPr="00951F61">
        <w:rPr>
          <w:rFonts w:eastAsia="Calibri"/>
          <w:szCs w:val="24"/>
          <w:lang w:val="ro-RO"/>
        </w:rPr>
        <w:t xml:space="preserve"> de Artă „Tinerimea Română”</w:t>
      </w:r>
    </w:p>
    <w:p w14:paraId="1D2D6872" w14:textId="2207C56D"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Centrul de Cultură „George Apostu” Bacău</w:t>
      </w:r>
    </w:p>
    <w:p w14:paraId="720CA6D7" w14:textId="51E6C52E"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Centrul de Cultură „</w:t>
      </w:r>
      <w:proofErr w:type="spellStart"/>
      <w:r w:rsidRPr="00951F61">
        <w:rPr>
          <w:rFonts w:eastAsia="Calibri"/>
          <w:szCs w:val="24"/>
          <w:lang w:val="ro-RO"/>
        </w:rPr>
        <w:t>Arcuş</w:t>
      </w:r>
      <w:proofErr w:type="spellEnd"/>
      <w:r w:rsidRPr="00951F61">
        <w:rPr>
          <w:rFonts w:eastAsia="Calibri"/>
          <w:szCs w:val="24"/>
          <w:lang w:val="ro-RO"/>
        </w:rPr>
        <w:t>” din Covasna</w:t>
      </w:r>
    </w:p>
    <w:p w14:paraId="6A69869B" w14:textId="4476904B"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Centrul Cultural </w:t>
      </w:r>
      <w:proofErr w:type="spellStart"/>
      <w:r w:rsidRPr="00951F61">
        <w:rPr>
          <w:rFonts w:eastAsia="Calibri"/>
          <w:szCs w:val="24"/>
          <w:lang w:val="ro-RO"/>
        </w:rPr>
        <w:t>Topliţa</w:t>
      </w:r>
      <w:proofErr w:type="spellEnd"/>
    </w:p>
    <w:p w14:paraId="6D5DD5ED" w14:textId="6477B664"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Institutul </w:t>
      </w:r>
      <w:proofErr w:type="spellStart"/>
      <w:r w:rsidRPr="00951F61">
        <w:rPr>
          <w:rFonts w:eastAsia="Calibri"/>
          <w:szCs w:val="24"/>
          <w:lang w:val="ro-RO"/>
        </w:rPr>
        <w:t>Naţional</w:t>
      </w:r>
      <w:proofErr w:type="spellEnd"/>
      <w:r w:rsidRPr="00951F61">
        <w:rPr>
          <w:rFonts w:eastAsia="Calibri"/>
          <w:szCs w:val="24"/>
          <w:lang w:val="ro-RO"/>
        </w:rPr>
        <w:t xml:space="preserve"> pentru Cercetare </w:t>
      </w:r>
      <w:proofErr w:type="spellStart"/>
      <w:r w:rsidRPr="00951F61">
        <w:rPr>
          <w:rFonts w:eastAsia="Calibri"/>
          <w:szCs w:val="24"/>
          <w:lang w:val="ro-RO"/>
        </w:rPr>
        <w:t>şi</w:t>
      </w:r>
      <w:proofErr w:type="spellEnd"/>
      <w:r w:rsidRPr="00951F61">
        <w:rPr>
          <w:rFonts w:eastAsia="Calibri"/>
          <w:szCs w:val="24"/>
          <w:lang w:val="ro-RO"/>
        </w:rPr>
        <w:t xml:space="preserve"> Formare Culturală</w:t>
      </w:r>
    </w:p>
    <w:p w14:paraId="43E4DB56" w14:textId="7B185CE7"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Institutul </w:t>
      </w:r>
      <w:proofErr w:type="spellStart"/>
      <w:r w:rsidRPr="00951F61">
        <w:rPr>
          <w:rFonts w:eastAsia="Calibri"/>
          <w:szCs w:val="24"/>
          <w:lang w:val="ro-RO"/>
        </w:rPr>
        <w:t>Naţional</w:t>
      </w:r>
      <w:proofErr w:type="spellEnd"/>
      <w:r w:rsidRPr="00951F61">
        <w:rPr>
          <w:rFonts w:eastAsia="Calibri"/>
          <w:szCs w:val="24"/>
          <w:lang w:val="ro-RO"/>
        </w:rPr>
        <w:t xml:space="preserve"> al Patrimoniului</w:t>
      </w:r>
    </w:p>
    <w:p w14:paraId="3DBF3DFF" w14:textId="0E7CE6B1"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Studioul VIDEO ART</w:t>
      </w:r>
    </w:p>
    <w:p w14:paraId="6CBA2B9D" w14:textId="1E729201"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Studioul de </w:t>
      </w:r>
      <w:proofErr w:type="spellStart"/>
      <w:r w:rsidRPr="00951F61">
        <w:rPr>
          <w:rFonts w:eastAsia="Calibri"/>
          <w:szCs w:val="24"/>
          <w:lang w:val="ro-RO"/>
        </w:rPr>
        <w:t>Creaţie</w:t>
      </w:r>
      <w:proofErr w:type="spellEnd"/>
      <w:r w:rsidRPr="00951F61">
        <w:rPr>
          <w:rFonts w:eastAsia="Calibri"/>
          <w:szCs w:val="24"/>
          <w:lang w:val="ro-RO"/>
        </w:rPr>
        <w:t xml:space="preserve"> Cinematografică din </w:t>
      </w:r>
      <w:proofErr w:type="spellStart"/>
      <w:r w:rsidRPr="00951F61">
        <w:rPr>
          <w:rFonts w:eastAsia="Calibri"/>
          <w:szCs w:val="24"/>
          <w:lang w:val="ro-RO"/>
        </w:rPr>
        <w:t>Bucureşti</w:t>
      </w:r>
      <w:proofErr w:type="spellEnd"/>
    </w:p>
    <w:p w14:paraId="3D2806EB" w14:textId="273F241C" w:rsidR="00951F61" w:rsidRPr="00951F61" w:rsidRDefault="00951F61" w:rsidP="00951F61">
      <w:pPr>
        <w:pStyle w:val="ListParagraph"/>
        <w:numPr>
          <w:ilvl w:val="0"/>
          <w:numId w:val="41"/>
        </w:numPr>
        <w:spacing w:after="0"/>
        <w:jc w:val="left"/>
        <w:rPr>
          <w:rFonts w:eastAsia="Calibri"/>
          <w:szCs w:val="24"/>
          <w:lang w:val="ro-RO"/>
        </w:rPr>
      </w:pPr>
      <w:proofErr w:type="spellStart"/>
      <w:r w:rsidRPr="00951F61">
        <w:rPr>
          <w:rFonts w:eastAsia="Calibri"/>
          <w:szCs w:val="24"/>
          <w:lang w:val="ro-RO"/>
        </w:rPr>
        <w:t>Administraţia</w:t>
      </w:r>
      <w:proofErr w:type="spellEnd"/>
      <w:r w:rsidRPr="00951F61">
        <w:rPr>
          <w:rFonts w:eastAsia="Calibri"/>
          <w:szCs w:val="24"/>
          <w:lang w:val="ro-RO"/>
        </w:rPr>
        <w:t xml:space="preserve"> Fondului Cultural </w:t>
      </w:r>
      <w:proofErr w:type="spellStart"/>
      <w:r w:rsidRPr="00951F61">
        <w:rPr>
          <w:rFonts w:eastAsia="Calibri"/>
          <w:szCs w:val="24"/>
          <w:lang w:val="ro-RO"/>
        </w:rPr>
        <w:t>Naţional</w:t>
      </w:r>
      <w:proofErr w:type="spellEnd"/>
    </w:p>
    <w:p w14:paraId="439E39F7" w14:textId="52C031C5"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ARTEXIM</w:t>
      </w:r>
    </w:p>
    <w:p w14:paraId="28229558" w14:textId="7FB7174D"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Compania </w:t>
      </w:r>
      <w:proofErr w:type="spellStart"/>
      <w:r w:rsidRPr="00951F61">
        <w:rPr>
          <w:rFonts w:eastAsia="Calibri"/>
          <w:szCs w:val="24"/>
          <w:lang w:val="ro-RO"/>
        </w:rPr>
        <w:t>Naţională</w:t>
      </w:r>
      <w:proofErr w:type="spellEnd"/>
      <w:r w:rsidRPr="00951F61">
        <w:rPr>
          <w:rFonts w:eastAsia="Calibri"/>
          <w:szCs w:val="24"/>
          <w:lang w:val="ro-RO"/>
        </w:rPr>
        <w:t xml:space="preserve"> a Imprimeriilor  „Coresi” - S.A.</w:t>
      </w:r>
    </w:p>
    <w:p w14:paraId="51C817ED" w14:textId="025AC9D5"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Regia Autonomă de </w:t>
      </w:r>
      <w:proofErr w:type="spellStart"/>
      <w:r w:rsidRPr="00951F61">
        <w:rPr>
          <w:rFonts w:eastAsia="Calibri"/>
          <w:szCs w:val="24"/>
          <w:lang w:val="ro-RO"/>
        </w:rPr>
        <w:t>Distribuţie</w:t>
      </w:r>
      <w:proofErr w:type="spellEnd"/>
      <w:r w:rsidRPr="00951F61">
        <w:rPr>
          <w:rFonts w:eastAsia="Calibri"/>
          <w:szCs w:val="24"/>
          <w:lang w:val="ro-RO"/>
        </w:rPr>
        <w:t xml:space="preserve"> </w:t>
      </w:r>
      <w:proofErr w:type="spellStart"/>
      <w:r w:rsidRPr="00951F61">
        <w:rPr>
          <w:rFonts w:eastAsia="Calibri"/>
          <w:szCs w:val="24"/>
          <w:lang w:val="ro-RO"/>
        </w:rPr>
        <w:t>şi</w:t>
      </w:r>
      <w:proofErr w:type="spellEnd"/>
      <w:r w:rsidRPr="00951F61">
        <w:rPr>
          <w:rFonts w:eastAsia="Calibri"/>
          <w:szCs w:val="24"/>
          <w:lang w:val="ro-RO"/>
        </w:rPr>
        <w:t xml:space="preserve"> Exploatare a Filmelor "</w:t>
      </w:r>
      <w:proofErr w:type="spellStart"/>
      <w:r w:rsidRPr="00951F61">
        <w:rPr>
          <w:rFonts w:eastAsia="Calibri"/>
          <w:szCs w:val="24"/>
          <w:lang w:val="ro-RO"/>
        </w:rPr>
        <w:t>Româniafilm</w:t>
      </w:r>
      <w:proofErr w:type="spellEnd"/>
      <w:r w:rsidRPr="00951F61">
        <w:rPr>
          <w:rFonts w:eastAsia="Calibri"/>
          <w:szCs w:val="24"/>
          <w:lang w:val="ro-RO"/>
        </w:rPr>
        <w:t>”</w:t>
      </w:r>
    </w:p>
    <w:p w14:paraId="044AB977" w14:textId="04788917" w:rsidR="00951F61" w:rsidRP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 xml:space="preserve">Studioul Cinematografic „Sahia Film" - S.A. </w:t>
      </w:r>
    </w:p>
    <w:p w14:paraId="356563EC" w14:textId="095961AC" w:rsidR="00951F61" w:rsidRDefault="00951F61" w:rsidP="00951F61">
      <w:pPr>
        <w:pStyle w:val="ListParagraph"/>
        <w:numPr>
          <w:ilvl w:val="0"/>
          <w:numId w:val="41"/>
        </w:numPr>
        <w:spacing w:after="0"/>
        <w:jc w:val="left"/>
        <w:rPr>
          <w:rFonts w:eastAsia="Calibri"/>
          <w:szCs w:val="24"/>
          <w:lang w:val="ro-RO"/>
        </w:rPr>
      </w:pPr>
      <w:r w:rsidRPr="00951F61">
        <w:rPr>
          <w:rFonts w:eastAsia="Calibri"/>
          <w:szCs w:val="24"/>
          <w:lang w:val="ro-RO"/>
        </w:rPr>
        <w:t>Studioul Cinematografic "Animafilm" - S.A.</w:t>
      </w:r>
    </w:p>
    <w:p w14:paraId="4F4192CC" w14:textId="77777777" w:rsidR="008D0B1A" w:rsidRDefault="008D0B1A" w:rsidP="008D0B1A">
      <w:pPr>
        <w:pStyle w:val="ListParagraph"/>
        <w:spacing w:after="0"/>
        <w:ind w:left="153"/>
        <w:jc w:val="left"/>
        <w:rPr>
          <w:rFonts w:eastAsia="Calibri"/>
          <w:szCs w:val="24"/>
          <w:lang w:val="ro-RO"/>
        </w:rPr>
      </w:pPr>
    </w:p>
    <w:p w14:paraId="7F02A7AC" w14:textId="77777777" w:rsidR="008D0B1A" w:rsidRPr="00951F61" w:rsidRDefault="008D0B1A" w:rsidP="008D0B1A">
      <w:pPr>
        <w:pStyle w:val="ListParagraph"/>
        <w:spacing w:after="0"/>
        <w:ind w:left="153"/>
        <w:jc w:val="left"/>
        <w:rPr>
          <w:rFonts w:eastAsia="Calibri"/>
          <w:szCs w:val="24"/>
          <w:lang w:val="ro-RO"/>
        </w:rPr>
      </w:pPr>
    </w:p>
    <w:p w14:paraId="0A151770" w14:textId="77777777" w:rsidR="00D530A0" w:rsidRPr="00D530A0" w:rsidRDefault="00D530A0" w:rsidP="0090056F">
      <w:pPr>
        <w:numPr>
          <w:ilvl w:val="0"/>
          <w:numId w:val="5"/>
        </w:numPr>
        <w:spacing w:before="120" w:after="0"/>
        <w:ind w:left="-567" w:firstLine="0"/>
        <w:rPr>
          <w:rFonts w:eastAsia="Calibri"/>
          <w:szCs w:val="24"/>
          <w:lang w:val="ro-RO"/>
        </w:rPr>
      </w:pPr>
      <w:r w:rsidRPr="00D530A0">
        <w:rPr>
          <w:rFonts w:eastAsia="Calibri"/>
          <w:b/>
          <w:bCs/>
          <w:szCs w:val="24"/>
          <w:lang w:val="ro-RO"/>
        </w:rPr>
        <w:lastRenderedPageBreak/>
        <w:t>Număr total poziții/funcții prevăzute în statul instituției (inclusiv nr. funcții de conducere ocupate cu titlu permanent):</w:t>
      </w:r>
      <w:r w:rsidRPr="00D530A0">
        <w:rPr>
          <w:rFonts w:eastAsia="Calibri"/>
          <w:szCs w:val="24"/>
          <w:lang w:val="ro-RO"/>
        </w:rPr>
        <w:t xml:space="preserve"> </w:t>
      </w:r>
    </w:p>
    <w:p w14:paraId="6630E6E5" w14:textId="77777777" w:rsidR="00D530A0" w:rsidRPr="00D530A0" w:rsidRDefault="00D530A0" w:rsidP="0090056F">
      <w:pPr>
        <w:spacing w:before="120" w:line="240" w:lineRule="auto"/>
        <w:ind w:left="-567"/>
        <w:jc w:val="left"/>
        <w:rPr>
          <w:lang w:val="ro-RO"/>
        </w:rPr>
      </w:pPr>
      <w:r w:rsidRPr="00D530A0">
        <w:rPr>
          <w:lang w:val="ro-RO"/>
        </w:rPr>
        <w:t>Număr total posturi este 210, din care:</w:t>
      </w:r>
    </w:p>
    <w:p w14:paraId="7D16DCC5" w14:textId="77777777" w:rsidR="00D530A0" w:rsidRPr="00D530A0" w:rsidRDefault="00D530A0" w:rsidP="0090056F">
      <w:pPr>
        <w:numPr>
          <w:ilvl w:val="0"/>
          <w:numId w:val="39"/>
        </w:numPr>
        <w:spacing w:before="120" w:line="240" w:lineRule="auto"/>
        <w:ind w:left="-567" w:firstLine="0"/>
        <w:jc w:val="left"/>
        <w:rPr>
          <w:lang w:val="ro-RO"/>
        </w:rPr>
      </w:pPr>
      <w:r w:rsidRPr="00D530A0">
        <w:rPr>
          <w:lang w:val="ro-RO"/>
        </w:rPr>
        <w:t>7 demnitari (ocupate);</w:t>
      </w:r>
    </w:p>
    <w:p w14:paraId="71205BE3" w14:textId="77777777" w:rsidR="00D530A0" w:rsidRPr="00D530A0" w:rsidRDefault="00D530A0" w:rsidP="0090056F">
      <w:pPr>
        <w:numPr>
          <w:ilvl w:val="0"/>
          <w:numId w:val="39"/>
        </w:numPr>
        <w:spacing w:before="120" w:line="240" w:lineRule="auto"/>
        <w:ind w:left="-567" w:firstLine="0"/>
        <w:jc w:val="left"/>
        <w:rPr>
          <w:lang w:val="ro-RO"/>
        </w:rPr>
      </w:pPr>
      <w:r w:rsidRPr="00D530A0">
        <w:rPr>
          <w:lang w:val="ro-RO"/>
        </w:rPr>
        <w:t>2 posturi de înalți funcționari;</w:t>
      </w:r>
    </w:p>
    <w:p w14:paraId="01720A15" w14:textId="77777777" w:rsidR="00D530A0" w:rsidRPr="00D530A0" w:rsidRDefault="00D530A0" w:rsidP="0090056F">
      <w:pPr>
        <w:numPr>
          <w:ilvl w:val="0"/>
          <w:numId w:val="39"/>
        </w:numPr>
        <w:spacing w:before="120" w:line="240" w:lineRule="auto"/>
        <w:ind w:left="-567" w:firstLine="0"/>
        <w:jc w:val="left"/>
        <w:rPr>
          <w:lang w:val="ro-RO"/>
        </w:rPr>
      </w:pPr>
      <w:r w:rsidRPr="00D530A0">
        <w:rPr>
          <w:lang w:val="ro-RO"/>
        </w:rPr>
        <w:t>12 funcții publice de conducere ocupate (4 ocupate temporar);</w:t>
      </w:r>
    </w:p>
    <w:p w14:paraId="0EF9696D" w14:textId="77777777" w:rsidR="00D530A0" w:rsidRPr="00D530A0" w:rsidRDefault="00D530A0" w:rsidP="0090056F">
      <w:pPr>
        <w:numPr>
          <w:ilvl w:val="0"/>
          <w:numId w:val="39"/>
        </w:numPr>
        <w:spacing w:before="120" w:line="240" w:lineRule="auto"/>
        <w:ind w:left="-567" w:firstLine="0"/>
        <w:jc w:val="left"/>
        <w:rPr>
          <w:lang w:val="ro-RO"/>
        </w:rPr>
      </w:pPr>
      <w:r w:rsidRPr="00D530A0">
        <w:rPr>
          <w:lang w:val="ro-RO"/>
        </w:rPr>
        <w:t>3 funcții publice de conducere vacante;</w:t>
      </w:r>
    </w:p>
    <w:p w14:paraId="114E2B01" w14:textId="77777777" w:rsidR="00D530A0" w:rsidRPr="00D530A0" w:rsidRDefault="00D530A0" w:rsidP="0090056F">
      <w:pPr>
        <w:numPr>
          <w:ilvl w:val="0"/>
          <w:numId w:val="39"/>
        </w:numPr>
        <w:spacing w:before="120" w:line="240" w:lineRule="auto"/>
        <w:ind w:left="-567" w:firstLine="0"/>
        <w:jc w:val="left"/>
        <w:rPr>
          <w:lang w:val="ro-RO"/>
        </w:rPr>
      </w:pPr>
      <w:r w:rsidRPr="00D530A0">
        <w:rPr>
          <w:lang w:val="ro-RO"/>
        </w:rPr>
        <w:t>1 post de conducere personal contractual vacant;</w:t>
      </w:r>
    </w:p>
    <w:p w14:paraId="7ED49160" w14:textId="77777777" w:rsidR="00D530A0" w:rsidRPr="00D530A0" w:rsidRDefault="00D530A0" w:rsidP="0090056F">
      <w:pPr>
        <w:numPr>
          <w:ilvl w:val="0"/>
          <w:numId w:val="39"/>
        </w:numPr>
        <w:spacing w:before="120" w:line="240" w:lineRule="auto"/>
        <w:ind w:left="-567" w:firstLine="0"/>
        <w:jc w:val="left"/>
        <w:rPr>
          <w:lang w:val="ro-RO"/>
        </w:rPr>
      </w:pPr>
      <w:r w:rsidRPr="00D530A0">
        <w:rPr>
          <w:lang w:val="ro-RO"/>
        </w:rPr>
        <w:t>97 funcții de execuție funcție publică ocupate;</w:t>
      </w:r>
    </w:p>
    <w:p w14:paraId="3BDA076C" w14:textId="77777777" w:rsidR="00D530A0" w:rsidRPr="00D530A0" w:rsidRDefault="00D530A0" w:rsidP="0090056F">
      <w:pPr>
        <w:numPr>
          <w:ilvl w:val="0"/>
          <w:numId w:val="39"/>
        </w:numPr>
        <w:spacing w:before="120" w:line="240" w:lineRule="auto"/>
        <w:ind w:left="-567" w:firstLine="0"/>
        <w:jc w:val="left"/>
        <w:rPr>
          <w:lang w:val="ro-RO"/>
        </w:rPr>
      </w:pPr>
      <w:r w:rsidRPr="00D530A0">
        <w:rPr>
          <w:lang w:val="ro-RO"/>
        </w:rPr>
        <w:t>44 funcții de execuție personal contractual ocupate;</w:t>
      </w:r>
    </w:p>
    <w:p w14:paraId="365B9FEA" w14:textId="77777777" w:rsidR="00D530A0" w:rsidRPr="00D530A0" w:rsidRDefault="00D530A0" w:rsidP="0090056F">
      <w:pPr>
        <w:numPr>
          <w:ilvl w:val="0"/>
          <w:numId w:val="39"/>
        </w:numPr>
        <w:spacing w:before="120" w:line="240" w:lineRule="auto"/>
        <w:ind w:left="-567" w:firstLine="0"/>
        <w:jc w:val="left"/>
        <w:rPr>
          <w:lang w:val="ro-RO"/>
        </w:rPr>
      </w:pPr>
      <w:r w:rsidRPr="00D530A0">
        <w:rPr>
          <w:lang w:val="ro-RO"/>
        </w:rPr>
        <w:t>38 funcții de execuție funcție publică vacante;</w:t>
      </w:r>
    </w:p>
    <w:p w14:paraId="74129A23" w14:textId="77777777" w:rsidR="00D530A0" w:rsidRDefault="00D530A0" w:rsidP="0090056F">
      <w:pPr>
        <w:numPr>
          <w:ilvl w:val="0"/>
          <w:numId w:val="39"/>
        </w:numPr>
        <w:spacing w:before="120" w:line="240" w:lineRule="auto"/>
        <w:ind w:left="-567" w:firstLine="0"/>
        <w:jc w:val="left"/>
        <w:rPr>
          <w:lang w:val="ro-RO"/>
        </w:rPr>
      </w:pPr>
      <w:r w:rsidRPr="00D530A0">
        <w:rPr>
          <w:lang w:val="ro-RO"/>
        </w:rPr>
        <w:t>6 funcții de execuție personal contractual vacante.</w:t>
      </w:r>
    </w:p>
    <w:p w14:paraId="3C78FC74" w14:textId="77777777" w:rsidR="008D0B1A" w:rsidRPr="00D530A0" w:rsidRDefault="008D0B1A" w:rsidP="008D0B1A">
      <w:pPr>
        <w:spacing w:before="120" w:line="240" w:lineRule="auto"/>
        <w:ind w:left="-567"/>
        <w:jc w:val="left"/>
        <w:rPr>
          <w:lang w:val="ro-RO"/>
        </w:rPr>
      </w:pPr>
    </w:p>
    <w:p w14:paraId="6A687815" w14:textId="77777777" w:rsidR="00D530A0" w:rsidRPr="00D530A0" w:rsidRDefault="00D530A0" w:rsidP="0090056F">
      <w:pPr>
        <w:numPr>
          <w:ilvl w:val="0"/>
          <w:numId w:val="5"/>
        </w:numPr>
        <w:spacing w:before="120" w:after="0"/>
        <w:ind w:left="-567" w:firstLine="0"/>
        <w:rPr>
          <w:rFonts w:eastAsia="Times New Roman"/>
          <w:lang w:val="ro-RO"/>
        </w:rPr>
      </w:pPr>
      <w:r w:rsidRPr="00D530A0">
        <w:rPr>
          <w:rFonts w:eastAsia="Times New Roman"/>
          <w:b/>
          <w:bCs/>
          <w:sz w:val="24"/>
          <w:szCs w:val="24"/>
          <w:lang w:val="ro-RO"/>
        </w:rPr>
        <w:t>Resursele alocate pentru cele 3 standarde supuse evaluării:</w:t>
      </w:r>
    </w:p>
    <w:p w14:paraId="44D3A362" w14:textId="77777777" w:rsidR="00D530A0" w:rsidRPr="00D530A0" w:rsidRDefault="00D530A0" w:rsidP="00951F61">
      <w:pPr>
        <w:numPr>
          <w:ilvl w:val="1"/>
          <w:numId w:val="38"/>
        </w:numPr>
        <w:spacing w:before="120" w:after="0"/>
        <w:ind w:left="-567" w:firstLine="0"/>
        <w:rPr>
          <w:rFonts w:eastAsia="Times New Roman"/>
          <w:lang w:val="ro-RO"/>
        </w:rPr>
      </w:pPr>
      <w:r w:rsidRPr="00D530A0">
        <w:rPr>
          <w:rFonts w:eastAsia="Times New Roman"/>
          <w:lang w:val="ro-RO"/>
        </w:rPr>
        <w:t>resurse financiare, evidențiindu-le distinct pe cele alocate pentru pregătirea profesională,</w:t>
      </w:r>
    </w:p>
    <w:p w14:paraId="062FB3B5" w14:textId="77777777" w:rsidR="00D530A0" w:rsidRPr="00D530A0" w:rsidRDefault="00D530A0" w:rsidP="00951F61">
      <w:pPr>
        <w:numPr>
          <w:ilvl w:val="1"/>
          <w:numId w:val="38"/>
        </w:numPr>
        <w:spacing w:before="120" w:after="0"/>
        <w:ind w:left="-567" w:firstLine="0"/>
        <w:rPr>
          <w:rFonts w:eastAsia="Times New Roman"/>
          <w:lang w:val="ro-RO"/>
        </w:rPr>
      </w:pPr>
      <w:r w:rsidRPr="00D530A0">
        <w:rPr>
          <w:rFonts w:eastAsia="Times New Roman"/>
          <w:lang w:val="ro-RO"/>
        </w:rPr>
        <w:t>resurse umane,</w:t>
      </w:r>
    </w:p>
    <w:p w14:paraId="6F0DD6B5" w14:textId="77777777" w:rsidR="00D530A0" w:rsidRPr="00D530A0" w:rsidRDefault="00D530A0" w:rsidP="00951F61">
      <w:pPr>
        <w:numPr>
          <w:ilvl w:val="1"/>
          <w:numId w:val="38"/>
        </w:numPr>
        <w:spacing w:before="120" w:after="0"/>
        <w:ind w:left="-567" w:firstLine="0"/>
        <w:rPr>
          <w:rFonts w:eastAsia="Times New Roman"/>
          <w:color w:val="FF0000"/>
          <w:lang w:val="ro-RO"/>
        </w:rPr>
      </w:pPr>
      <w:r w:rsidRPr="00D530A0">
        <w:rPr>
          <w:rFonts w:eastAsia="Times New Roman"/>
          <w:lang w:val="ro-RO"/>
        </w:rPr>
        <w:t>resurse materiale (calculatoare, spațiu pentru desfășurarea activității, acces la internet etc.).</w:t>
      </w:r>
    </w:p>
    <w:p w14:paraId="00F2C130" w14:textId="77777777" w:rsidR="00D530A0" w:rsidRPr="00D530A0" w:rsidRDefault="00D530A0" w:rsidP="0090056F">
      <w:pPr>
        <w:spacing w:before="120"/>
        <w:ind w:left="-567"/>
        <w:rPr>
          <w:rFonts w:eastAsia="Calibri"/>
          <w:szCs w:val="24"/>
          <w:lang w:val="ro-RO"/>
        </w:rPr>
      </w:pPr>
      <w:r w:rsidRPr="00D530A0">
        <w:rPr>
          <w:rFonts w:eastAsia="Calibri"/>
          <w:szCs w:val="24"/>
          <w:lang w:val="ro-RO"/>
        </w:rPr>
        <w:t>Pentru toate cele 3 standarde (acestea fiind interconectate) au fost utilizate același tip de resurse financiare (nu au avut loc cursuri de formare profesională în domeniile respective), umane și materiale, astfel cum sunt utilizate la activitățile standard aferente funcțiilor publice.</w:t>
      </w:r>
    </w:p>
    <w:p w14:paraId="5B91BD18" w14:textId="77777777" w:rsidR="00D530A0" w:rsidRPr="00D530A0" w:rsidRDefault="00D530A0" w:rsidP="0090056F">
      <w:pPr>
        <w:numPr>
          <w:ilvl w:val="0"/>
          <w:numId w:val="5"/>
        </w:numPr>
        <w:spacing w:before="120" w:after="0"/>
        <w:ind w:left="-567" w:firstLine="0"/>
        <w:rPr>
          <w:rFonts w:eastAsia="Times New Roman" w:cs="Arial"/>
          <w:b/>
          <w:bCs/>
          <w:i/>
          <w:lang w:val="ro-RO"/>
        </w:rPr>
      </w:pPr>
      <w:r w:rsidRPr="00D530A0">
        <w:rPr>
          <w:rFonts w:eastAsia="Times New Roman" w:cs="Arial"/>
          <w:b/>
          <w:bCs/>
          <w:i/>
          <w:lang w:val="ro-RO"/>
        </w:rPr>
        <w:t>Scopul misiunii de evaluare</w:t>
      </w:r>
    </w:p>
    <w:p w14:paraId="011020F5" w14:textId="77777777" w:rsidR="00D530A0" w:rsidRPr="00D530A0" w:rsidRDefault="00D530A0" w:rsidP="0090056F">
      <w:pPr>
        <w:spacing w:before="120"/>
        <w:ind w:left="-567"/>
        <w:rPr>
          <w:rFonts w:eastAsia="Calibri"/>
          <w:szCs w:val="24"/>
          <w:lang w:val="ro-RO"/>
        </w:rPr>
      </w:pPr>
      <w:r w:rsidRPr="00D530A0">
        <w:rPr>
          <w:rFonts w:eastAsia="Calibri"/>
          <w:szCs w:val="24"/>
          <w:lang w:val="ro-RO"/>
        </w:rPr>
        <w:t xml:space="preserve">Prin Hotărârea Guvernului nr. 1269/2021 au fost aprobate </w:t>
      </w:r>
      <w:r w:rsidRPr="00D530A0">
        <w:rPr>
          <w:rFonts w:eastAsia="Calibri"/>
          <w:i/>
          <w:szCs w:val="24"/>
          <w:lang w:val="ro-RO"/>
        </w:rPr>
        <w:t>Strategia Națională Anticorupție (SNA) 2021-2025</w:t>
      </w:r>
      <w:r w:rsidRPr="00D530A0">
        <w:rPr>
          <w:rFonts w:eastAsia="Calibri"/>
          <w:szCs w:val="24"/>
          <w:lang w:val="ro-RO"/>
        </w:rPr>
        <w:t xml:space="preserve"> și documentele aferente acesteia.</w:t>
      </w:r>
    </w:p>
    <w:p w14:paraId="62CD054F" w14:textId="77777777" w:rsidR="00D530A0" w:rsidRPr="00D530A0" w:rsidRDefault="00D530A0" w:rsidP="0090056F">
      <w:pPr>
        <w:spacing w:before="120"/>
        <w:ind w:left="-567"/>
        <w:rPr>
          <w:rFonts w:eastAsia="Calibri"/>
          <w:szCs w:val="24"/>
          <w:lang w:val="ro-RO"/>
        </w:rPr>
      </w:pPr>
      <w:r w:rsidRPr="00D530A0">
        <w:rPr>
          <w:rFonts w:eastAsia="Calibri"/>
          <w:szCs w:val="24"/>
          <w:lang w:val="ro-RO"/>
        </w:rPr>
        <w:t xml:space="preserve">Potrivit art. 11 și 12 din </w:t>
      </w:r>
      <w:r w:rsidRPr="00D530A0">
        <w:rPr>
          <w:rFonts w:eastAsia="Calibri"/>
          <w:i/>
          <w:iCs/>
          <w:szCs w:val="24"/>
          <w:lang w:val="ro-RO"/>
        </w:rPr>
        <w:t>Metodologia de monitorizare a implementării SNA 2021-2025</w:t>
      </w:r>
      <w:r w:rsidRPr="00D530A0">
        <w:rPr>
          <w:rFonts w:eastAsia="Calibri"/>
          <w:szCs w:val="24"/>
          <w:lang w:val="ro-RO"/>
        </w:rPr>
        <w:t>, aprobată prin Ordinul Ministrului Justiției nr. 2046/2022, în cadrul reuniunilor desfășurate în luna decembrie 2022, platformele de cooperare au aprobat temele de evaluare tematică și instituțiile ce urmează a fi supuse evaluării în anul 2023.</w:t>
      </w:r>
    </w:p>
    <w:p w14:paraId="6E518B47" w14:textId="77777777" w:rsidR="00D530A0" w:rsidRPr="00D530A0" w:rsidRDefault="00D530A0" w:rsidP="0090056F">
      <w:pPr>
        <w:spacing w:before="120"/>
        <w:ind w:left="-567"/>
        <w:rPr>
          <w:rFonts w:eastAsia="Calibri"/>
          <w:szCs w:val="24"/>
          <w:lang w:val="ro-RO"/>
        </w:rPr>
      </w:pPr>
      <w:r w:rsidRPr="00D530A0">
        <w:rPr>
          <w:rFonts w:eastAsia="Calibri"/>
          <w:szCs w:val="24"/>
          <w:lang w:val="ro-RO"/>
        </w:rPr>
        <w:t xml:space="preserve">Temele care fac obiectul misiunilor de evaluare tematică în anul 2023 sunt: </w:t>
      </w:r>
    </w:p>
    <w:p w14:paraId="49591775" w14:textId="77777777" w:rsidR="00D530A0" w:rsidRPr="00D530A0" w:rsidRDefault="00D530A0" w:rsidP="0090056F">
      <w:pPr>
        <w:numPr>
          <w:ilvl w:val="1"/>
          <w:numId w:val="6"/>
        </w:numPr>
        <w:spacing w:before="120"/>
        <w:ind w:left="-567" w:firstLine="0"/>
        <w:rPr>
          <w:rFonts w:eastAsia="Calibri"/>
          <w:szCs w:val="24"/>
          <w:lang w:val="ro-RO"/>
        </w:rPr>
      </w:pPr>
      <w:r w:rsidRPr="00D530A0">
        <w:rPr>
          <w:rFonts w:eastAsia="Calibri"/>
          <w:szCs w:val="24"/>
          <w:lang w:val="ro-RO"/>
        </w:rPr>
        <w:t xml:space="preserve">evaluarea riscurilor de corupție în cadrul autorităților și instituțiilor publice centrale și locale; </w:t>
      </w:r>
    </w:p>
    <w:p w14:paraId="79E5B64C" w14:textId="77777777" w:rsidR="00D530A0" w:rsidRPr="00D530A0" w:rsidRDefault="00D530A0" w:rsidP="0090056F">
      <w:pPr>
        <w:numPr>
          <w:ilvl w:val="1"/>
          <w:numId w:val="6"/>
        </w:numPr>
        <w:spacing w:before="120"/>
        <w:ind w:left="-567" w:firstLine="0"/>
        <w:rPr>
          <w:rFonts w:eastAsia="Calibri"/>
          <w:szCs w:val="24"/>
          <w:lang w:val="ro-RO"/>
        </w:rPr>
      </w:pPr>
      <w:r w:rsidRPr="00D530A0">
        <w:rPr>
          <w:rFonts w:eastAsia="Calibri"/>
          <w:szCs w:val="24"/>
          <w:lang w:val="ro-RO"/>
        </w:rPr>
        <w:t>evaluarea incidentelor de integritate în cadrul autorităților și instituțiilor publice centrale și locale</w:t>
      </w:r>
      <w:r w:rsidRPr="00D530A0">
        <w:rPr>
          <w:rFonts w:eastAsia="Calibri"/>
          <w:szCs w:val="24"/>
        </w:rPr>
        <w:t>;</w:t>
      </w:r>
    </w:p>
    <w:p w14:paraId="7C8F76CB" w14:textId="77777777" w:rsidR="00D530A0" w:rsidRPr="00D530A0" w:rsidRDefault="00D530A0" w:rsidP="0090056F">
      <w:pPr>
        <w:numPr>
          <w:ilvl w:val="1"/>
          <w:numId w:val="6"/>
        </w:numPr>
        <w:spacing w:before="120"/>
        <w:ind w:left="-567" w:firstLine="0"/>
        <w:rPr>
          <w:rFonts w:eastAsia="Calibri"/>
          <w:szCs w:val="24"/>
          <w:lang w:val="ro-RO"/>
        </w:rPr>
      </w:pPr>
      <w:r w:rsidRPr="00D530A0">
        <w:rPr>
          <w:rFonts w:eastAsia="Calibri"/>
          <w:szCs w:val="24"/>
          <w:lang w:val="ro-RO"/>
        </w:rPr>
        <w:t>gestionarea mecanismului de implementare a SNA de către instituțiile publice (inclusiv întreprinderi publice).</w:t>
      </w:r>
    </w:p>
    <w:p w14:paraId="26CD4D3F" w14:textId="77777777" w:rsidR="00D530A0" w:rsidRPr="00D530A0" w:rsidRDefault="00D530A0" w:rsidP="0090056F">
      <w:pPr>
        <w:spacing w:before="120" w:after="0" w:line="360" w:lineRule="auto"/>
        <w:ind w:left="-567"/>
        <w:rPr>
          <w:rFonts w:eastAsia="Calibri"/>
          <w:szCs w:val="24"/>
          <w:lang w:val="ro-RO"/>
        </w:rPr>
      </w:pPr>
      <w:r w:rsidRPr="00D530A0">
        <w:rPr>
          <w:rFonts w:eastAsia="Calibri"/>
          <w:szCs w:val="24"/>
          <w:lang w:val="ro-RO"/>
        </w:rPr>
        <w:t>Obiectivele procesului de monitorizare sunt:</w:t>
      </w:r>
    </w:p>
    <w:p w14:paraId="2D193B56" w14:textId="77777777" w:rsidR="00D530A0" w:rsidRPr="00D530A0" w:rsidRDefault="00D530A0" w:rsidP="0090056F">
      <w:pPr>
        <w:numPr>
          <w:ilvl w:val="0"/>
          <w:numId w:val="4"/>
        </w:numPr>
        <w:spacing w:before="120"/>
        <w:ind w:left="-567" w:firstLine="0"/>
        <w:contextualSpacing/>
        <w:rPr>
          <w:lang w:val="ro-RO"/>
        </w:rPr>
      </w:pPr>
      <w:r w:rsidRPr="00D530A0">
        <w:rPr>
          <w:lang w:val="ro-RO"/>
        </w:rPr>
        <w:t>Identificarea progreselor înregistrate în implementarea SNA;</w:t>
      </w:r>
    </w:p>
    <w:p w14:paraId="3C0616BA" w14:textId="77777777" w:rsidR="00D530A0" w:rsidRPr="00D530A0" w:rsidRDefault="00D530A0" w:rsidP="0090056F">
      <w:pPr>
        <w:numPr>
          <w:ilvl w:val="0"/>
          <w:numId w:val="4"/>
        </w:numPr>
        <w:spacing w:before="120"/>
        <w:ind w:left="-567" w:firstLine="0"/>
        <w:contextualSpacing/>
        <w:rPr>
          <w:lang w:val="ro-RO"/>
        </w:rPr>
      </w:pPr>
      <w:r w:rsidRPr="00D530A0">
        <w:rPr>
          <w:lang w:val="ro-RO"/>
        </w:rPr>
        <w:lastRenderedPageBreak/>
        <w:t>Identificarea și corectarea problemelor practice apărute în aplicarea politicilor și normelor anticorupție;</w:t>
      </w:r>
    </w:p>
    <w:p w14:paraId="50A2B828" w14:textId="77777777" w:rsidR="00D530A0" w:rsidRPr="00D530A0" w:rsidRDefault="00D530A0" w:rsidP="0090056F">
      <w:pPr>
        <w:numPr>
          <w:ilvl w:val="0"/>
          <w:numId w:val="4"/>
        </w:numPr>
        <w:spacing w:before="120"/>
        <w:ind w:left="-567" w:firstLine="0"/>
        <w:contextualSpacing/>
        <w:rPr>
          <w:lang w:val="ro-RO"/>
        </w:rPr>
      </w:pPr>
      <w:r w:rsidRPr="00D530A0">
        <w:rPr>
          <w:lang w:val="ro-RO"/>
        </w:rPr>
        <w:t>Creșterea gradului de cunoaștere, înțelegere și implementare a măsurilor de prevenire a corupției, în sectorul public și privat.</w:t>
      </w:r>
    </w:p>
    <w:p w14:paraId="0D7FC787" w14:textId="77777777" w:rsidR="00D530A0" w:rsidRPr="00D530A0" w:rsidRDefault="00D530A0" w:rsidP="0090056F">
      <w:pPr>
        <w:spacing w:before="120"/>
        <w:ind w:left="-567"/>
        <w:rPr>
          <w:rFonts w:eastAsia="Calibri"/>
          <w:szCs w:val="24"/>
          <w:lang w:val="ro-RO"/>
        </w:rPr>
      </w:pPr>
      <w:r w:rsidRPr="00D530A0">
        <w:rPr>
          <w:rFonts w:eastAsia="Calibri"/>
          <w:szCs w:val="24"/>
          <w:lang w:val="ro-RO"/>
        </w:rPr>
        <w:t>Procedura evaluării a constat în completarea chestionarului tematic de evaluare transmis la data de  5 aprilie</w:t>
      </w:r>
      <w:r w:rsidRPr="00D530A0">
        <w:rPr>
          <w:rFonts w:eastAsia="Calibri"/>
          <w:color w:val="FF0000"/>
          <w:szCs w:val="24"/>
          <w:lang w:val="ro-RO"/>
        </w:rPr>
        <w:t xml:space="preserve"> </w:t>
      </w:r>
      <w:r w:rsidRPr="00D530A0">
        <w:rPr>
          <w:rFonts w:eastAsia="Calibri"/>
          <w:szCs w:val="24"/>
          <w:lang w:val="ro-RO"/>
        </w:rPr>
        <w:t>2023, organizarea vizitei de evaluare la sediul Ministerului Culturii</w:t>
      </w:r>
      <w:r w:rsidRPr="00D530A0">
        <w:rPr>
          <w:rFonts w:eastAsia="Times New Roman"/>
          <w:color w:val="000000"/>
          <w:shd w:val="clear" w:color="auto" w:fill="FFFFFF"/>
          <w:lang w:val="ro-RO"/>
        </w:rPr>
        <w:t xml:space="preserve">, </w:t>
      </w:r>
      <w:r w:rsidRPr="00D530A0">
        <w:rPr>
          <w:rFonts w:eastAsia="Calibri"/>
          <w:szCs w:val="24"/>
          <w:lang w:val="ro-RO"/>
        </w:rPr>
        <w:t xml:space="preserve">în data de 18 aprilie 2023, și redactarea raportului de evaluare. </w:t>
      </w:r>
    </w:p>
    <w:p w14:paraId="412AFAAE" w14:textId="77777777" w:rsidR="00D530A0" w:rsidRPr="00D530A0" w:rsidRDefault="00D530A0" w:rsidP="0090056F">
      <w:pPr>
        <w:keepNext/>
        <w:keepLines/>
        <w:numPr>
          <w:ilvl w:val="0"/>
          <w:numId w:val="3"/>
        </w:numPr>
        <w:spacing w:before="120" w:line="240" w:lineRule="auto"/>
        <w:ind w:left="-567" w:firstLine="0"/>
        <w:outlineLvl w:val="4"/>
        <w:rPr>
          <w:rFonts w:eastAsia="Times New Roman" w:cs="Arial"/>
          <w:b/>
          <w:bCs/>
          <w:i/>
          <w:lang w:val="ro-RO"/>
        </w:rPr>
      </w:pPr>
      <w:r w:rsidRPr="00D530A0">
        <w:rPr>
          <w:rFonts w:eastAsia="Times New Roman" w:cs="Arial"/>
          <w:b/>
          <w:bCs/>
          <w:i/>
          <w:lang w:val="ro-RO"/>
        </w:rPr>
        <w:t>Componența echipei de evaluare</w:t>
      </w:r>
    </w:p>
    <w:p w14:paraId="28DFB443" w14:textId="77777777" w:rsidR="00D530A0" w:rsidRPr="00D530A0" w:rsidRDefault="00D530A0" w:rsidP="0090056F">
      <w:pPr>
        <w:spacing w:before="120" w:line="240" w:lineRule="auto"/>
        <w:ind w:left="-567"/>
        <w:rPr>
          <w:rFonts w:eastAsia="Times New Roman" w:cs="Arial"/>
          <w:b/>
          <w:bCs/>
          <w:szCs w:val="24"/>
          <w:lang w:val="ro-RO"/>
        </w:rPr>
      </w:pPr>
      <w:r w:rsidRPr="00D530A0">
        <w:rPr>
          <w:rFonts w:eastAsia="Times New Roman" w:cs="Arial"/>
          <w:b/>
          <w:bCs/>
          <w:szCs w:val="24"/>
          <w:lang w:val="ro-RO"/>
        </w:rPr>
        <w:t>Echipa de evaluare a fost compusă din 3 persoane:</w:t>
      </w:r>
    </w:p>
    <w:p w14:paraId="29133A05" w14:textId="77777777" w:rsidR="00D530A0" w:rsidRPr="00D530A0" w:rsidRDefault="00D530A0" w:rsidP="008D0B1A">
      <w:pPr>
        <w:numPr>
          <w:ilvl w:val="0"/>
          <w:numId w:val="2"/>
        </w:numPr>
        <w:ind w:left="-567" w:firstLine="0"/>
        <w:rPr>
          <w:rFonts w:eastAsia="Calibri"/>
          <w:b/>
          <w:bCs/>
          <w:szCs w:val="24"/>
          <w:lang w:val="ro-RO"/>
        </w:rPr>
      </w:pPr>
      <w:r w:rsidRPr="00D530A0">
        <w:rPr>
          <w:rFonts w:eastAsia="Calibri"/>
          <w:szCs w:val="24"/>
          <w:lang w:val="ro-RO"/>
        </w:rPr>
        <w:t xml:space="preserve">D-na. </w:t>
      </w:r>
      <w:r w:rsidRPr="008D0B1A">
        <w:rPr>
          <w:rFonts w:eastAsia="Calibri"/>
          <w:szCs w:val="24"/>
          <w:lang w:val="ro-RO"/>
        </w:rPr>
        <w:t xml:space="preserve">Georgiana </w:t>
      </w:r>
      <w:proofErr w:type="spellStart"/>
      <w:r w:rsidRPr="008D0B1A">
        <w:rPr>
          <w:rFonts w:eastAsia="Calibri"/>
          <w:szCs w:val="24"/>
          <w:lang w:val="ro-RO"/>
        </w:rPr>
        <w:t>Asoltanei</w:t>
      </w:r>
      <w:proofErr w:type="spellEnd"/>
      <w:r w:rsidRPr="00D530A0">
        <w:rPr>
          <w:rFonts w:eastAsia="Calibri"/>
          <w:szCs w:val="24"/>
          <w:lang w:val="ro-RO"/>
        </w:rPr>
        <w:t xml:space="preserve"> – Direcția Generală Anticorupție, expert evaluator din cadrul platformei </w:t>
      </w:r>
      <w:bookmarkStart w:id="1" w:name="_Hlk150178922"/>
      <w:r w:rsidRPr="00D530A0">
        <w:rPr>
          <w:rFonts w:eastAsia="Calibri"/>
          <w:bCs/>
          <w:szCs w:val="24"/>
          <w:lang w:val="ro-RO"/>
        </w:rPr>
        <w:t>autorităților independente și a instituțiilor anticorupție</w:t>
      </w:r>
      <w:bookmarkEnd w:id="1"/>
      <w:r w:rsidRPr="00D530A0">
        <w:rPr>
          <w:rFonts w:eastAsia="Calibri"/>
          <w:szCs w:val="24"/>
          <w:lang w:val="ro-RO"/>
        </w:rPr>
        <w:t>;</w:t>
      </w:r>
      <w:r w:rsidRPr="00D530A0">
        <w:rPr>
          <w:rFonts w:eastAsia="Calibri"/>
          <w:b/>
          <w:bCs/>
          <w:szCs w:val="24"/>
          <w:lang w:val="ro-RO"/>
        </w:rPr>
        <w:t xml:space="preserve"> </w:t>
      </w:r>
    </w:p>
    <w:p w14:paraId="61A596D3" w14:textId="77777777" w:rsidR="00D530A0" w:rsidRPr="00951F61" w:rsidRDefault="00D530A0" w:rsidP="008D0B1A">
      <w:pPr>
        <w:numPr>
          <w:ilvl w:val="0"/>
          <w:numId w:val="2"/>
        </w:numPr>
        <w:ind w:left="-567" w:firstLine="0"/>
        <w:rPr>
          <w:rFonts w:eastAsia="Calibri"/>
          <w:szCs w:val="24"/>
          <w:lang w:val="ro-RO"/>
        </w:rPr>
      </w:pPr>
      <w:r w:rsidRPr="00951F61">
        <w:rPr>
          <w:rFonts w:eastAsia="Calibri"/>
          <w:szCs w:val="24"/>
          <w:lang w:val="ro-RO"/>
        </w:rPr>
        <w:t>D-na. Anamaria Ramona Rusu - Director Adjunct</w:t>
      </w:r>
      <w:r w:rsidRPr="00951F61">
        <w:rPr>
          <w:rFonts w:eastAsia="Calibri"/>
          <w:szCs w:val="24"/>
          <w:lang w:val="ro-RO"/>
        </w:rPr>
        <w:br/>
      </w:r>
      <w:proofErr w:type="spellStart"/>
      <w:r w:rsidRPr="00951F61">
        <w:rPr>
          <w:rFonts w:eastAsia="Calibri"/>
          <w:szCs w:val="24"/>
          <w:lang w:val="ro-RO"/>
        </w:rPr>
        <w:t>Directia</w:t>
      </w:r>
      <w:proofErr w:type="spellEnd"/>
      <w:r w:rsidRPr="00951F61">
        <w:rPr>
          <w:rFonts w:eastAsia="Calibri"/>
          <w:szCs w:val="24"/>
          <w:lang w:val="ro-RO"/>
        </w:rPr>
        <w:t xml:space="preserve"> </w:t>
      </w:r>
      <w:proofErr w:type="spellStart"/>
      <w:r w:rsidRPr="00951F61">
        <w:rPr>
          <w:rFonts w:eastAsia="Calibri"/>
          <w:szCs w:val="24"/>
          <w:lang w:val="ro-RO"/>
        </w:rPr>
        <w:t>Antifrauda</w:t>
      </w:r>
      <w:proofErr w:type="spellEnd"/>
      <w:r w:rsidRPr="00951F61">
        <w:rPr>
          <w:rFonts w:eastAsia="Calibri"/>
          <w:szCs w:val="24"/>
          <w:lang w:val="ro-RO"/>
        </w:rPr>
        <w:t xml:space="preserve"> si Control – CEC BANK S.A., expert evaluator din cadrul platformei mediului de afaceri;</w:t>
      </w:r>
    </w:p>
    <w:p w14:paraId="289801A8" w14:textId="77777777" w:rsidR="00D530A0" w:rsidRPr="00951F61" w:rsidRDefault="00D530A0" w:rsidP="008D0B1A">
      <w:pPr>
        <w:numPr>
          <w:ilvl w:val="0"/>
          <w:numId w:val="2"/>
        </w:numPr>
        <w:ind w:left="-567" w:firstLine="0"/>
        <w:rPr>
          <w:rFonts w:eastAsia="Calibri"/>
          <w:szCs w:val="24"/>
          <w:lang w:val="ro-RO"/>
        </w:rPr>
      </w:pPr>
      <w:r w:rsidRPr="00951F61">
        <w:rPr>
          <w:rFonts w:eastAsia="Calibri"/>
          <w:szCs w:val="24"/>
          <w:lang w:val="ro-RO"/>
        </w:rPr>
        <w:t xml:space="preserve">D-na. Georgiana Ciută  – Director Executiv, </w:t>
      </w:r>
      <w:proofErr w:type="spellStart"/>
      <w:r w:rsidRPr="00951F61">
        <w:rPr>
          <w:rFonts w:eastAsia="Calibri"/>
          <w:szCs w:val="24"/>
          <w:lang w:val="ro-RO"/>
        </w:rPr>
        <w:t>Transparency</w:t>
      </w:r>
      <w:proofErr w:type="spellEnd"/>
      <w:r w:rsidRPr="00951F61">
        <w:rPr>
          <w:rFonts w:eastAsia="Calibri"/>
          <w:szCs w:val="24"/>
          <w:lang w:val="ro-RO"/>
        </w:rPr>
        <w:t xml:space="preserve"> International Romania, expert evaluator din partea platformei societății civile;</w:t>
      </w:r>
    </w:p>
    <w:p w14:paraId="6A845E2C" w14:textId="77777777" w:rsidR="00D530A0" w:rsidRPr="00951F61" w:rsidRDefault="00D530A0" w:rsidP="008D0B1A">
      <w:pPr>
        <w:numPr>
          <w:ilvl w:val="0"/>
          <w:numId w:val="2"/>
        </w:numPr>
        <w:ind w:left="-567" w:firstLine="0"/>
        <w:rPr>
          <w:rFonts w:eastAsia="Calibri"/>
          <w:szCs w:val="24"/>
          <w:lang w:val="ro-RO"/>
        </w:rPr>
      </w:pPr>
      <w:r w:rsidRPr="00951F61">
        <w:rPr>
          <w:rFonts w:eastAsia="Calibri"/>
          <w:szCs w:val="24"/>
          <w:lang w:val="ro-RO"/>
        </w:rPr>
        <w:t xml:space="preserve">D-na. Georgeta Filip  – Specialist relații publice, </w:t>
      </w:r>
      <w:proofErr w:type="spellStart"/>
      <w:r w:rsidRPr="00951F61">
        <w:rPr>
          <w:rFonts w:eastAsia="Calibri"/>
          <w:szCs w:val="24"/>
          <w:lang w:val="ro-RO"/>
        </w:rPr>
        <w:t>Transparency</w:t>
      </w:r>
      <w:proofErr w:type="spellEnd"/>
      <w:r w:rsidRPr="00951F61">
        <w:rPr>
          <w:rFonts w:eastAsia="Calibri"/>
          <w:szCs w:val="24"/>
          <w:lang w:val="ro-RO"/>
        </w:rPr>
        <w:t xml:space="preserve"> International Romania, expert evaluator din partea platformei societății civile;</w:t>
      </w:r>
    </w:p>
    <w:p w14:paraId="731DBD82" w14:textId="77777777" w:rsidR="00D530A0" w:rsidRPr="00D530A0" w:rsidRDefault="00D530A0" w:rsidP="008D0B1A">
      <w:pPr>
        <w:numPr>
          <w:ilvl w:val="0"/>
          <w:numId w:val="2"/>
        </w:numPr>
        <w:ind w:left="-567" w:firstLine="0"/>
        <w:rPr>
          <w:rFonts w:eastAsia="Calibri"/>
          <w:szCs w:val="24"/>
          <w:lang w:val="ro-RO"/>
        </w:rPr>
      </w:pPr>
      <w:r w:rsidRPr="00951F61">
        <w:rPr>
          <w:rFonts w:eastAsia="Calibri"/>
          <w:szCs w:val="24"/>
          <w:lang w:val="ro-RO"/>
        </w:rPr>
        <w:t xml:space="preserve">Dl. Dragoș Enrico Dediu, </w:t>
      </w:r>
      <w:bookmarkStart w:id="2" w:name="_Hlk24387165"/>
      <w:r w:rsidRPr="00951F61">
        <w:rPr>
          <w:rFonts w:eastAsia="Calibri"/>
          <w:szCs w:val="24"/>
          <w:lang w:val="ro-RO"/>
        </w:rPr>
        <w:t>personal de specialitate juridică asimilat judecătorilor și procurorilor</w:t>
      </w:r>
      <w:bookmarkEnd w:id="2"/>
      <w:r w:rsidRPr="00951F61">
        <w:rPr>
          <w:rFonts w:eastAsia="Calibri"/>
          <w:szCs w:val="24"/>
          <w:lang w:val="ro-RO"/>
        </w:rPr>
        <w:t>, Ministerul Justiției</w:t>
      </w:r>
      <w:r w:rsidRPr="00D530A0">
        <w:rPr>
          <w:rFonts w:eastAsia="Calibri"/>
          <w:szCs w:val="24"/>
          <w:lang w:val="ro-RO"/>
        </w:rPr>
        <w:t>, expert evaluator din partea platformei administrației publice centrale.</w:t>
      </w:r>
    </w:p>
    <w:p w14:paraId="56FC2A46" w14:textId="77777777" w:rsidR="00D530A0" w:rsidRPr="00D530A0" w:rsidRDefault="00D530A0" w:rsidP="008D0B1A">
      <w:pPr>
        <w:ind w:left="-567"/>
        <w:rPr>
          <w:rFonts w:eastAsia="Calibri" w:cs="Tahoma"/>
          <w:b/>
          <w:bCs/>
          <w:szCs w:val="24"/>
          <w:shd w:val="clear" w:color="auto" w:fill="FFFFFF"/>
          <w:lang w:val="ro-RO"/>
        </w:rPr>
      </w:pPr>
      <w:r w:rsidRPr="00D530A0">
        <w:rPr>
          <w:rFonts w:eastAsia="Times New Roman" w:cs="Arial"/>
          <w:b/>
          <w:bCs/>
          <w:szCs w:val="24"/>
          <w:lang w:val="ro-RO"/>
        </w:rPr>
        <w:t>Reprezentanții Ministerului Culturii care au luat parte la întâlnire au fost:</w:t>
      </w:r>
      <w:r w:rsidRPr="00D530A0">
        <w:rPr>
          <w:rFonts w:eastAsia="Calibri" w:cs="Tahoma"/>
          <w:b/>
          <w:bCs/>
          <w:szCs w:val="24"/>
          <w:shd w:val="clear" w:color="auto" w:fill="FFFFFF"/>
          <w:lang w:val="ro-RO"/>
        </w:rPr>
        <w:t xml:space="preserve"> </w:t>
      </w:r>
    </w:p>
    <w:p w14:paraId="22EE979F" w14:textId="77777777" w:rsidR="00D530A0" w:rsidRPr="00D530A0" w:rsidRDefault="00D530A0" w:rsidP="008D0B1A">
      <w:pPr>
        <w:numPr>
          <w:ilvl w:val="0"/>
          <w:numId w:val="40"/>
        </w:numPr>
        <w:ind w:left="-567" w:firstLine="0"/>
        <w:rPr>
          <w:rFonts w:eastAsia="Calibri" w:cs="Tahoma"/>
          <w:bCs/>
          <w:szCs w:val="24"/>
          <w:shd w:val="clear" w:color="auto" w:fill="FFFFFF"/>
          <w:lang w:val="ro-RO"/>
        </w:rPr>
      </w:pPr>
      <w:r w:rsidRPr="00D530A0">
        <w:rPr>
          <w:rFonts w:eastAsia="Calibri" w:cs="Tahoma"/>
          <w:bCs/>
          <w:szCs w:val="24"/>
          <w:shd w:val="clear" w:color="auto" w:fill="FFFFFF"/>
          <w:lang w:val="ro-RO"/>
        </w:rPr>
        <w:t>Camelia Marcu, secretar general;</w:t>
      </w:r>
    </w:p>
    <w:p w14:paraId="363B8096" w14:textId="77777777" w:rsidR="00D530A0" w:rsidRPr="00D530A0" w:rsidRDefault="00D530A0" w:rsidP="008D0B1A">
      <w:pPr>
        <w:numPr>
          <w:ilvl w:val="0"/>
          <w:numId w:val="40"/>
        </w:numPr>
        <w:ind w:left="-567" w:firstLine="0"/>
        <w:rPr>
          <w:rFonts w:eastAsia="Calibri" w:cs="Tahoma"/>
          <w:bCs/>
          <w:szCs w:val="24"/>
          <w:shd w:val="clear" w:color="auto" w:fill="FFFFFF"/>
          <w:lang w:val="ro-RO"/>
        </w:rPr>
      </w:pPr>
      <w:r w:rsidRPr="00D530A0">
        <w:rPr>
          <w:rFonts w:eastAsia="Calibri" w:cs="Tahoma"/>
          <w:bCs/>
          <w:szCs w:val="24"/>
          <w:shd w:val="clear" w:color="auto" w:fill="FFFFFF"/>
          <w:lang w:val="ro-RO"/>
        </w:rPr>
        <w:t xml:space="preserve">Gabriela </w:t>
      </w:r>
      <w:proofErr w:type="spellStart"/>
      <w:r w:rsidRPr="00D530A0">
        <w:rPr>
          <w:rFonts w:eastAsia="Calibri" w:cs="Tahoma"/>
          <w:bCs/>
          <w:szCs w:val="24"/>
          <w:shd w:val="clear" w:color="auto" w:fill="FFFFFF"/>
          <w:lang w:val="ro-RO"/>
        </w:rPr>
        <w:t>Velcu</w:t>
      </w:r>
      <w:proofErr w:type="spellEnd"/>
      <w:r w:rsidRPr="00D530A0">
        <w:rPr>
          <w:rFonts w:eastAsia="Calibri" w:cs="Tahoma"/>
          <w:bCs/>
          <w:szCs w:val="24"/>
          <w:shd w:val="clear" w:color="auto" w:fill="FFFFFF"/>
          <w:lang w:val="ro-RO"/>
        </w:rPr>
        <w:t>, director, Direcția Managementul Resurselor Umane;</w:t>
      </w:r>
    </w:p>
    <w:p w14:paraId="23C0BB75" w14:textId="77777777" w:rsidR="00D530A0" w:rsidRPr="00D530A0" w:rsidRDefault="00D530A0" w:rsidP="008D0B1A">
      <w:pPr>
        <w:numPr>
          <w:ilvl w:val="0"/>
          <w:numId w:val="40"/>
        </w:numPr>
        <w:ind w:left="-567" w:firstLine="0"/>
        <w:rPr>
          <w:rFonts w:eastAsia="Calibri" w:cs="Tahoma"/>
          <w:bCs/>
          <w:szCs w:val="24"/>
          <w:shd w:val="clear" w:color="auto" w:fill="FFFFFF"/>
          <w:lang w:val="ro-RO"/>
        </w:rPr>
      </w:pPr>
      <w:r w:rsidRPr="00D530A0">
        <w:rPr>
          <w:rFonts w:eastAsia="Calibri" w:cs="Tahoma"/>
          <w:bCs/>
          <w:szCs w:val="24"/>
          <w:shd w:val="clear" w:color="auto" w:fill="FFFFFF"/>
          <w:lang w:val="ro-RO"/>
        </w:rPr>
        <w:t>Simona Stănescu, șef birou, Biroul Comunicare și Dialog Social;</w:t>
      </w:r>
    </w:p>
    <w:p w14:paraId="33E43D7D" w14:textId="77777777" w:rsidR="00D530A0" w:rsidRPr="00D530A0" w:rsidRDefault="00D530A0" w:rsidP="008D0B1A">
      <w:pPr>
        <w:numPr>
          <w:ilvl w:val="0"/>
          <w:numId w:val="40"/>
        </w:numPr>
        <w:ind w:left="-567" w:firstLine="0"/>
        <w:rPr>
          <w:rFonts w:eastAsia="Calibri" w:cs="Tahoma"/>
          <w:bCs/>
          <w:szCs w:val="24"/>
          <w:shd w:val="clear" w:color="auto" w:fill="FFFFFF"/>
          <w:lang w:val="ro-RO"/>
        </w:rPr>
      </w:pPr>
      <w:r w:rsidRPr="00D530A0">
        <w:rPr>
          <w:rFonts w:eastAsia="Calibri" w:cs="Tahoma"/>
          <w:bCs/>
          <w:szCs w:val="24"/>
          <w:shd w:val="clear" w:color="auto" w:fill="FFFFFF"/>
          <w:lang w:val="ro-RO"/>
        </w:rPr>
        <w:t>Daniel Cherecheș, inspector, Corpul de control al ministrului</w:t>
      </w:r>
    </w:p>
    <w:p w14:paraId="5617B0E9" w14:textId="77777777" w:rsidR="00D530A0" w:rsidRPr="00D530A0" w:rsidRDefault="00D530A0" w:rsidP="008D0B1A">
      <w:pPr>
        <w:numPr>
          <w:ilvl w:val="0"/>
          <w:numId w:val="40"/>
        </w:numPr>
        <w:ind w:left="-567" w:firstLine="0"/>
        <w:rPr>
          <w:rFonts w:eastAsia="Calibri" w:cs="Tahoma"/>
          <w:bCs/>
          <w:szCs w:val="24"/>
          <w:shd w:val="clear" w:color="auto" w:fill="FFFFFF"/>
          <w:lang w:val="ro-RO"/>
        </w:rPr>
      </w:pPr>
      <w:proofErr w:type="spellStart"/>
      <w:r w:rsidRPr="00D530A0">
        <w:rPr>
          <w:rFonts w:eastAsia="Calibri" w:cs="Tahoma"/>
          <w:bCs/>
          <w:szCs w:val="24"/>
          <w:shd w:val="clear" w:color="auto" w:fill="FFFFFF"/>
          <w:lang w:val="ro-RO"/>
        </w:rPr>
        <w:t>Silvea</w:t>
      </w:r>
      <w:proofErr w:type="spellEnd"/>
      <w:r w:rsidRPr="00D530A0">
        <w:rPr>
          <w:rFonts w:eastAsia="Calibri" w:cs="Tahoma"/>
          <w:bCs/>
          <w:szCs w:val="24"/>
          <w:shd w:val="clear" w:color="auto" w:fill="FFFFFF"/>
          <w:lang w:val="ro-RO"/>
        </w:rPr>
        <w:t xml:space="preserve"> Crețu, consilier de etică;</w:t>
      </w:r>
    </w:p>
    <w:p w14:paraId="65EAC5F1" w14:textId="77777777" w:rsidR="00D530A0" w:rsidRPr="00D530A0" w:rsidRDefault="00D530A0" w:rsidP="008D0B1A">
      <w:pPr>
        <w:numPr>
          <w:ilvl w:val="0"/>
          <w:numId w:val="40"/>
        </w:numPr>
        <w:ind w:left="-567" w:firstLine="0"/>
        <w:rPr>
          <w:rFonts w:eastAsia="Calibri" w:cs="Tahoma"/>
          <w:bCs/>
          <w:szCs w:val="24"/>
          <w:shd w:val="clear" w:color="auto" w:fill="FFFFFF"/>
          <w:lang w:val="ro-RO"/>
        </w:rPr>
      </w:pPr>
      <w:r w:rsidRPr="00D530A0">
        <w:rPr>
          <w:rFonts w:eastAsia="Calibri" w:cs="Tahoma"/>
          <w:bCs/>
          <w:szCs w:val="24"/>
          <w:shd w:val="clear" w:color="auto" w:fill="FFFFFF"/>
          <w:lang w:val="ro-RO"/>
        </w:rPr>
        <w:t>Alexandr Știrbu, consilier juridic, Serviciul Legislativ și Relația cu Parlamentul;</w:t>
      </w:r>
    </w:p>
    <w:p w14:paraId="7AB88C95" w14:textId="77777777" w:rsidR="00D530A0" w:rsidRPr="00D530A0" w:rsidRDefault="00D530A0" w:rsidP="008D0B1A">
      <w:pPr>
        <w:numPr>
          <w:ilvl w:val="0"/>
          <w:numId w:val="40"/>
        </w:numPr>
        <w:ind w:left="-567" w:firstLine="0"/>
        <w:rPr>
          <w:rFonts w:eastAsia="Calibri" w:cs="Tahoma"/>
          <w:bCs/>
          <w:szCs w:val="24"/>
          <w:shd w:val="clear" w:color="auto" w:fill="FFFFFF"/>
          <w:lang w:val="ro-RO"/>
        </w:rPr>
      </w:pPr>
      <w:r w:rsidRPr="00D530A0">
        <w:rPr>
          <w:rFonts w:eastAsia="Calibri" w:cs="Tahoma"/>
          <w:bCs/>
          <w:szCs w:val="24"/>
          <w:shd w:val="clear" w:color="auto" w:fill="FFFFFF"/>
          <w:lang w:val="ro-RO"/>
        </w:rPr>
        <w:t>Andrei Diaconescu, manager public, Compartimentul Managementul Instituțiilor de Cultură.</w:t>
      </w:r>
    </w:p>
    <w:p w14:paraId="436CA16B" w14:textId="77777777" w:rsidR="00D530A0" w:rsidRPr="00D530A0" w:rsidRDefault="00D530A0" w:rsidP="008D0B1A">
      <w:pPr>
        <w:ind w:left="-567"/>
        <w:contextualSpacing/>
        <w:rPr>
          <w:rFonts w:cs="Tahoma"/>
          <w:b/>
          <w:bCs/>
          <w:shd w:val="clear" w:color="auto" w:fill="FFFFFF"/>
          <w:lang w:val="ro-RO"/>
        </w:rPr>
      </w:pPr>
      <w:r w:rsidRPr="00D530A0">
        <w:rPr>
          <w:rFonts w:eastAsia="Times New Roman" w:cs="Arial"/>
          <w:b/>
          <w:bCs/>
          <w:lang w:val="ro-RO"/>
        </w:rPr>
        <w:t>Din partea Secretariatului tehnic al SNA au participat:</w:t>
      </w:r>
    </w:p>
    <w:p w14:paraId="397950A6" w14:textId="77777777" w:rsidR="00D530A0" w:rsidRPr="00D530A0" w:rsidRDefault="00D530A0" w:rsidP="008D0B1A">
      <w:pPr>
        <w:numPr>
          <w:ilvl w:val="0"/>
          <w:numId w:val="2"/>
        </w:numPr>
        <w:ind w:left="-567" w:firstLine="0"/>
        <w:rPr>
          <w:shd w:val="clear" w:color="auto" w:fill="FFFFFF"/>
          <w:lang w:val="ro-RO"/>
        </w:rPr>
      </w:pPr>
      <w:r w:rsidRPr="00D530A0">
        <w:rPr>
          <w:shd w:val="clear" w:color="auto" w:fill="FFFFFF"/>
          <w:lang w:val="ro-RO"/>
        </w:rPr>
        <w:t xml:space="preserve">Dl. Răzvan </w:t>
      </w:r>
      <w:proofErr w:type="spellStart"/>
      <w:r w:rsidRPr="00D530A0">
        <w:rPr>
          <w:shd w:val="clear" w:color="auto" w:fill="FFFFFF"/>
          <w:lang w:val="ro-RO"/>
        </w:rPr>
        <w:t>Boștinaru</w:t>
      </w:r>
      <w:proofErr w:type="spellEnd"/>
      <w:r w:rsidRPr="00D530A0">
        <w:rPr>
          <w:shd w:val="clear" w:color="auto" w:fill="FFFFFF"/>
          <w:lang w:val="ro-RO"/>
        </w:rPr>
        <w:t>, personal de specialitate juridică asimilat judecătorilor și procurorilor, Ministerul Justiției, reprezentant al Secretariatului tehnic al SNA;</w:t>
      </w:r>
    </w:p>
    <w:p w14:paraId="7E17D4C8" w14:textId="77777777" w:rsidR="00D530A0" w:rsidRPr="00D530A0" w:rsidRDefault="00D530A0" w:rsidP="008D0B1A">
      <w:pPr>
        <w:numPr>
          <w:ilvl w:val="0"/>
          <w:numId w:val="2"/>
        </w:numPr>
        <w:ind w:left="-567" w:firstLine="0"/>
        <w:contextualSpacing/>
        <w:rPr>
          <w:shd w:val="clear" w:color="auto" w:fill="FFFFFF"/>
          <w:lang w:val="ro-RO"/>
        </w:rPr>
      </w:pPr>
      <w:r w:rsidRPr="00D530A0">
        <w:rPr>
          <w:rFonts w:eastAsia="Times New Roman" w:cs="Arial"/>
          <w:szCs w:val="24"/>
          <w:lang w:val="ro-RO"/>
        </w:rPr>
        <w:t>D</w:t>
      </w:r>
      <w:r w:rsidRPr="00D530A0">
        <w:rPr>
          <w:shd w:val="clear" w:color="auto" w:fill="FFFFFF"/>
          <w:lang w:val="ro-RO"/>
        </w:rPr>
        <w:t>-na. Cristina Liță, consilier superior, Ministerul Justiției, reprezentant al Secretariatului tehnic al SNA.</w:t>
      </w:r>
    </w:p>
    <w:p w14:paraId="734AECBF" w14:textId="77777777" w:rsidR="00D530A0" w:rsidRPr="00D530A0" w:rsidRDefault="00D530A0" w:rsidP="008D0B1A">
      <w:pPr>
        <w:ind w:left="-567"/>
        <w:rPr>
          <w:rFonts w:eastAsia="Times New Roman" w:cs="Arial"/>
          <w:szCs w:val="24"/>
          <w:lang w:val="ro-RO"/>
        </w:rPr>
      </w:pPr>
    </w:p>
    <w:p w14:paraId="0F649332" w14:textId="77777777" w:rsidR="00D530A0" w:rsidRPr="00D530A0" w:rsidRDefault="00D530A0" w:rsidP="0090056F">
      <w:pPr>
        <w:pBdr>
          <w:top w:val="single" w:sz="4" w:space="1" w:color="auto"/>
          <w:left w:val="single" w:sz="4" w:space="4" w:color="auto"/>
          <w:bottom w:val="single" w:sz="4" w:space="1" w:color="auto"/>
          <w:right w:val="single" w:sz="4" w:space="4" w:color="auto"/>
        </w:pBdr>
        <w:spacing w:before="120" w:after="0"/>
        <w:ind w:left="-567"/>
        <w:rPr>
          <w:rFonts w:eastAsia="Times New Roman" w:cs="Arial"/>
          <w:b/>
          <w:lang w:val="ro-RO"/>
        </w:rPr>
      </w:pPr>
      <w:r w:rsidRPr="00D530A0">
        <w:rPr>
          <w:rFonts w:eastAsia="Times New Roman" w:cs="Arial"/>
          <w:b/>
          <w:lang w:val="ro-RO"/>
        </w:rPr>
        <w:t>II. CONSTATĂRI</w:t>
      </w:r>
    </w:p>
    <w:p w14:paraId="206F902D" w14:textId="77777777" w:rsidR="00D530A0" w:rsidRPr="00D530A0" w:rsidRDefault="00D530A0" w:rsidP="0090056F">
      <w:pPr>
        <w:spacing w:before="120" w:after="0"/>
        <w:ind w:left="-567"/>
        <w:rPr>
          <w:rFonts w:eastAsia="Times New Roman" w:cs="Arial"/>
          <w:b/>
          <w:bCs/>
          <w:lang w:val="ro-RO"/>
        </w:rPr>
      </w:pPr>
    </w:p>
    <w:p w14:paraId="72FACBDC" w14:textId="77777777" w:rsidR="00D530A0" w:rsidRPr="00D530A0" w:rsidRDefault="00D530A0" w:rsidP="0090056F">
      <w:pPr>
        <w:numPr>
          <w:ilvl w:val="0"/>
          <w:numId w:val="8"/>
        </w:numPr>
        <w:spacing w:before="120" w:after="0"/>
        <w:ind w:left="-567" w:firstLine="0"/>
        <w:rPr>
          <w:rFonts w:eastAsia="Times New Roman" w:cs="Arial"/>
          <w:b/>
          <w:bCs/>
          <w:lang w:val="ro-RO"/>
        </w:rPr>
      </w:pPr>
      <w:r w:rsidRPr="00D530A0">
        <w:rPr>
          <w:rFonts w:eastAsia="Times New Roman" w:cs="Arial"/>
          <w:b/>
          <w:bCs/>
          <w:lang w:val="ro-RO"/>
        </w:rPr>
        <w:lastRenderedPageBreak/>
        <w:t xml:space="preserve">EVALUAREA RISCURILOR DE CORUPȚIE ÎN CADRUL AUTORITĂȚILOR ȘI INSTITUȚIILOR PUBLICE CENTRALE ȘI LOCALE </w:t>
      </w:r>
    </w:p>
    <w:p w14:paraId="1A6BBBFF"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 xml:space="preserve">La nivelul Ministerului Culturii (MC) </w:t>
      </w:r>
      <w:r w:rsidRPr="00D530A0">
        <w:rPr>
          <w:rFonts w:eastAsia="Times New Roman" w:cs="Helvetica"/>
          <w:bCs/>
          <w:lang w:val="ro-RO"/>
        </w:rPr>
        <w:t xml:space="preserve">a fost constituit formal Grupul de lucru pentru implementarea metodologiei, conform art. 6 din Metodologia standard de evaluare a riscurilor de </w:t>
      </w:r>
      <w:proofErr w:type="spellStart"/>
      <w:r w:rsidRPr="00D530A0">
        <w:rPr>
          <w:rFonts w:eastAsia="Times New Roman" w:cs="Helvetica"/>
          <w:bCs/>
          <w:lang w:val="ro-RO"/>
        </w:rPr>
        <w:t>corupţie</w:t>
      </w:r>
      <w:proofErr w:type="spellEnd"/>
      <w:r w:rsidRPr="00D530A0">
        <w:rPr>
          <w:rFonts w:eastAsia="Times New Roman" w:cs="Helvetica"/>
          <w:bCs/>
          <w:lang w:val="ro-RO"/>
        </w:rPr>
        <w:t xml:space="preserve"> în cadrul </w:t>
      </w:r>
      <w:proofErr w:type="spellStart"/>
      <w:r w:rsidRPr="00D530A0">
        <w:rPr>
          <w:rFonts w:eastAsia="Times New Roman" w:cs="Helvetica"/>
          <w:bCs/>
          <w:lang w:val="ro-RO"/>
        </w:rPr>
        <w:t>autorităţilor</w:t>
      </w:r>
      <w:proofErr w:type="spellEnd"/>
      <w:r w:rsidRPr="00D530A0">
        <w:rPr>
          <w:rFonts w:eastAsia="Times New Roman" w:cs="Helvetica"/>
          <w:bCs/>
          <w:lang w:val="ro-RO"/>
        </w:rPr>
        <w:t xml:space="preserve"> </w:t>
      </w:r>
      <w:proofErr w:type="spellStart"/>
      <w:r w:rsidRPr="00D530A0">
        <w:rPr>
          <w:rFonts w:eastAsia="Times New Roman" w:cs="Helvetica"/>
          <w:bCs/>
          <w:lang w:val="ro-RO"/>
        </w:rPr>
        <w:t>şi</w:t>
      </w:r>
      <w:proofErr w:type="spellEnd"/>
      <w:r w:rsidRPr="00D530A0">
        <w:rPr>
          <w:rFonts w:eastAsia="Times New Roman" w:cs="Helvetica"/>
          <w:bCs/>
          <w:lang w:val="ro-RO"/>
        </w:rPr>
        <w:t xml:space="preserve"> instituțiilor publice centrale, aprobată prin Hotărârea Guvernului nr. 599/2018, însă din acest grup de lucru fac parte membrii Comisiei de monitorizare SCIM.</w:t>
      </w:r>
    </w:p>
    <w:p w14:paraId="3217EFE4"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Practic, prin O.M.C. nr. 3717/18.11.2021 privind aprobarea Metodologiei privind managementul riscurilor de corupție în cadrul Ministerului Culturii, responsabilitatea implementării metodologiei conform art. 6 a revenit Comisiei de monitorizare, coordonare și îndrumare metodologică a implementării și dezvoltării sistemului de control intern managerial al Ministerului Culturii (Comisia de monitorizare).</w:t>
      </w:r>
    </w:p>
    <w:p w14:paraId="5B5AD7E4"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Comisia de monitorizare este coordonată de către un președinte (Secretarul General al MC), asistat de secretariatul tehnic (2 manageri publici). Au calitatea de membri toți conducătorii compartimentelor din cadrul ministerului, incluși în primul nivel de conducere din structura organizatorică, cu excepția compartimentului de audit public intern care are rol consultativ.</w:t>
      </w:r>
    </w:p>
    <w:p w14:paraId="47192C68"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 xml:space="preserve">Grupul de lucru se întrunește la convocarea secretariatului tehnic în funcție de împrejurările care apar, întrunirile având loc, potrivit celor comunicate în cadrul vizitei de evaluare, de regulă, trimestrial. </w:t>
      </w:r>
    </w:p>
    <w:p w14:paraId="2BC95ECF" w14:textId="77777777" w:rsidR="00D530A0" w:rsidRPr="00D530A0" w:rsidRDefault="00D530A0" w:rsidP="0090056F">
      <w:pPr>
        <w:spacing w:before="120" w:after="0"/>
        <w:ind w:left="-567"/>
        <w:rPr>
          <w:rFonts w:eastAsia="Calibri"/>
          <w:lang w:val="ro-RO"/>
        </w:rPr>
      </w:pPr>
      <w:r w:rsidRPr="00D530A0">
        <w:rPr>
          <w:rFonts w:eastAsia="Calibri"/>
          <w:lang w:val="ro-RO"/>
        </w:rPr>
        <w:t>În perioada de raportare, Grupul de lucru pentru implementarea metodologiei a identificat și descris riscurile de corupție (fiind identificate riscuri în materia achizițiilor publice – spre exemplu, mențiuni incomplete în caietele de sarcină), conform art. 11 din Metodologie.</w:t>
      </w:r>
    </w:p>
    <w:p w14:paraId="6746FA8C" w14:textId="77777777" w:rsidR="00D530A0" w:rsidRPr="00D530A0" w:rsidRDefault="00D530A0" w:rsidP="0090056F">
      <w:pPr>
        <w:spacing w:before="120" w:after="0"/>
        <w:ind w:left="-567"/>
        <w:rPr>
          <w:rFonts w:eastAsia="Calibri"/>
          <w:lang w:val="ro-RO"/>
        </w:rPr>
      </w:pPr>
      <w:r w:rsidRPr="00D530A0">
        <w:rPr>
          <w:rFonts w:eastAsia="Calibri"/>
          <w:lang w:val="ro-RO"/>
        </w:rPr>
        <w:t xml:space="preserve">A desfășurat activitatea de evaluare a riscurilor identificate și a elaborat Registrul riscurilor de corupție, prevăzut la art. 17 din Metodologie. Cu ocazia acestei activități au fost semnalate o serie de dificultăți care se refereau, în principal, la atitudinea de neimplicare și lipsa feedback-ului din partea propriilor structuri și a instituțiilor subordonate, acestea din urmă abordând problematicile specifice SNA ca pe niște formalități, și nu ca pe un demers asumat de implementare a standardelor de integritate. Ca posibilă cauză a acestei situații a fost indicată subdimensionarea Ministerului Culturii (tendință de scădere a numărului de posturi ocupate, departamente cu schema de personal ocupată doar un sfert). Până la data vizitei de evaluare, Registrul riscurilor de corupție nu a fost actualizat, acest lucru nefiind apreciat ca necesar. </w:t>
      </w:r>
    </w:p>
    <w:p w14:paraId="2906B469" w14:textId="77777777" w:rsidR="00D530A0" w:rsidRPr="00D530A0" w:rsidRDefault="00D530A0" w:rsidP="0090056F">
      <w:pPr>
        <w:spacing w:before="120" w:after="0"/>
        <w:ind w:left="-567"/>
        <w:rPr>
          <w:rFonts w:eastAsia="Calibri"/>
          <w:lang w:val="ro-RO"/>
        </w:rPr>
      </w:pPr>
      <w:r w:rsidRPr="00D530A0">
        <w:rPr>
          <w:rFonts w:eastAsia="Calibri"/>
          <w:lang w:val="ro-RO"/>
        </w:rPr>
        <w:t>Evaluarea riscurilor a fost realizată pe baza raportului Curții de Conturi și pe baza unor chestionare diseminate în cadrul departamentelor responsabile cu respectarea procedurilor interne.</w:t>
      </w:r>
    </w:p>
    <w:p w14:paraId="0143FB09"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Ca urmare a activității de identificare a riscurilor de corupție,</w:t>
      </w:r>
      <w:r w:rsidRPr="00D530A0">
        <w:rPr>
          <w:rFonts w:eastAsia="Calibri"/>
          <w:lang w:val="ro-RO"/>
        </w:rPr>
        <w:t xml:space="preserve"> au fost elaborate următoarele</w:t>
      </w:r>
      <w:r w:rsidRPr="00D530A0">
        <w:rPr>
          <w:rFonts w:eastAsia="Times New Roman" w:cs="Arial"/>
          <w:bCs/>
          <w:lang w:val="ro-RO"/>
        </w:rPr>
        <w:t xml:space="preserve"> </w:t>
      </w:r>
      <w:r w:rsidRPr="00D530A0">
        <w:rPr>
          <w:rFonts w:eastAsia="Calibri"/>
          <w:lang w:val="ro-RO"/>
        </w:rPr>
        <w:t>proceduri de lucru:</w:t>
      </w:r>
    </w:p>
    <w:p w14:paraId="28024869"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 Procedura privind modul de monitorizare a prevederilor codului de conduită (la momentul efectuării vizitei de evaluare procedura se afla pe circuitul intern de avizare de aproximativ 6 luni).</w:t>
      </w:r>
    </w:p>
    <w:p w14:paraId="7AA0AA33"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 Procedura privind gestionarea dosarelor profesionale (la momentul efectuării vizitei de evaluare, procedura se afla pe circuitul intern de avizare de aproximativ o lună).</w:t>
      </w:r>
    </w:p>
    <w:p w14:paraId="00AE6BDE"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Totodată, prin O.M.C. nr. 3526/2022 a fost aprobat Ghidul pentru prelucrarea datelor cu caracter personal în cadrul Ministerului Culturii.</w:t>
      </w:r>
    </w:p>
    <w:p w14:paraId="3E6CCCC9"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lastRenderedPageBreak/>
        <w:t>Din informațiile primite în cadrul vizitei de evaluare reiese că Registrul riscurilor reglementat de art. 5 din O.S.G.G. nr. 600/2018 este corelat cu registrul riscurilor de corupție, acesta din urmă fiind utilizat ca instrument de management de către conducerea instituției. Registrul riscurilor de corupție a fost aprobat de către Comisia de monitorizare, măsurile stabilite pentru reducerea riscurilor fiind monitorizate de către aceasta, fiind, totodată, avut în vedere în cazul programărilor sesiunilor de instruire în domeniul integrității.</w:t>
      </w:r>
    </w:p>
    <w:p w14:paraId="6EF90A24"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 xml:space="preserve">În cursul anului de referință, membrii Grupului de lucru au participat la programe de formare profesională în domenii precum protecția datelor cu caracter personal, anticorupție (aproximativ 50), etică și integritate. Anterior, în perioada pandemiei, o parte din personalul MC a participat la sesiuni de instruire cu reprezentanți ai Ministerului Justiției, Direcția Generală Anticorupție din cadrul Ministerului Afacerilor Interne și Agenția Națională de Integritate. În urma acestor sesiuni, au fost elaborate fișe informative (2) și o prezentare care au fost transmise personalului MC. Ulterior, au fost întocmite monitorizări prin care era solicitat feedback din partea personalului care a primit fișele informative (aproximativ 25 % rata de feedback scris + feedback verbal). </w:t>
      </w:r>
    </w:p>
    <w:p w14:paraId="63070B8D" w14:textId="77777777" w:rsidR="00D530A0" w:rsidRDefault="00D530A0" w:rsidP="0090056F">
      <w:pPr>
        <w:spacing w:before="120" w:after="0"/>
        <w:ind w:left="-567"/>
        <w:rPr>
          <w:rFonts w:eastAsia="Times New Roman" w:cs="Arial"/>
          <w:bCs/>
          <w:lang w:val="ro-RO"/>
        </w:rPr>
      </w:pPr>
      <w:r w:rsidRPr="00D530A0">
        <w:rPr>
          <w:rFonts w:eastAsia="Times New Roman" w:cs="Arial"/>
          <w:bCs/>
          <w:lang w:val="ro-RO"/>
        </w:rPr>
        <w:t>De asemenea, Registrul riscurilor de corupție a fost utilizat pentru fundamentarea planului de integritate aprobat la nivelul instituției.</w:t>
      </w:r>
    </w:p>
    <w:p w14:paraId="0861E51E" w14:textId="77777777" w:rsidR="008D0B1A" w:rsidRPr="00D530A0" w:rsidRDefault="008D0B1A" w:rsidP="0090056F">
      <w:pPr>
        <w:spacing w:before="120" w:after="0"/>
        <w:ind w:left="-567"/>
        <w:rPr>
          <w:rFonts w:eastAsia="Times New Roman" w:cs="Arial"/>
          <w:bCs/>
          <w:lang w:val="ro-RO"/>
        </w:rPr>
      </w:pPr>
    </w:p>
    <w:p w14:paraId="2052FF75" w14:textId="77777777" w:rsidR="00D530A0" w:rsidRPr="00D530A0" w:rsidRDefault="00D530A0" w:rsidP="0090056F">
      <w:pPr>
        <w:numPr>
          <w:ilvl w:val="0"/>
          <w:numId w:val="8"/>
        </w:numPr>
        <w:spacing w:before="120" w:after="0"/>
        <w:ind w:left="-567" w:firstLine="0"/>
        <w:rPr>
          <w:rFonts w:eastAsia="Times New Roman" w:cs="Arial"/>
          <w:b/>
          <w:bCs/>
          <w:lang w:val="ro-RO"/>
        </w:rPr>
      </w:pPr>
      <w:r w:rsidRPr="00D530A0">
        <w:rPr>
          <w:rFonts w:eastAsia="Times New Roman" w:cs="Arial"/>
          <w:b/>
          <w:bCs/>
          <w:lang w:val="ro-RO"/>
        </w:rPr>
        <w:t xml:space="preserve">EVALUAREA INCIDENTELOR DE INTEGRITATE ÎN CADRUL AUTORITĂȚILOR ȘI INSTITUȚIILOR PUBLICE CENTRALE ȘI LOCALE </w:t>
      </w:r>
    </w:p>
    <w:p w14:paraId="5F567B90" w14:textId="00D1ACDC"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 xml:space="preserve">În cadrul Ministerului Culturii a fost desemnat un Grup de lucru responsabil pentru implementarea metodologiei de evaluare a incidentelor de integritate (în conformitate cu dispozițiile art. 5 alin. (1) din Metodologia de evaluare a incidentelor de integritate în cadrul </w:t>
      </w:r>
      <w:r w:rsidR="00F83F94" w:rsidRPr="00D530A0">
        <w:rPr>
          <w:rFonts w:eastAsia="Times New Roman" w:cs="Arial"/>
          <w:bCs/>
          <w:lang w:val="ro-RO"/>
        </w:rPr>
        <w:t>autorităților</w:t>
      </w:r>
      <w:r w:rsidRPr="00D530A0">
        <w:rPr>
          <w:rFonts w:eastAsia="Times New Roman" w:cs="Arial"/>
          <w:bCs/>
          <w:lang w:val="ro-RO"/>
        </w:rPr>
        <w:t xml:space="preserve"> </w:t>
      </w:r>
      <w:proofErr w:type="spellStart"/>
      <w:r w:rsidRPr="00D530A0">
        <w:rPr>
          <w:rFonts w:eastAsia="Times New Roman" w:cs="Arial"/>
          <w:bCs/>
          <w:lang w:val="ro-RO"/>
        </w:rPr>
        <w:t>şi</w:t>
      </w:r>
      <w:proofErr w:type="spellEnd"/>
      <w:r w:rsidRPr="00D530A0">
        <w:rPr>
          <w:rFonts w:eastAsia="Times New Roman" w:cs="Arial"/>
          <w:bCs/>
          <w:lang w:val="ro-RO"/>
        </w:rPr>
        <w:t xml:space="preserve"> instituțiilor publice centrale aprobate prin Hotărârea Guvernului nr. 599/2018) abia la finalul anului 2022, prin O.M.C. nr. 3523/23.11.2022.</w:t>
      </w:r>
    </w:p>
    <w:p w14:paraId="13CF2C84"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Din Grupul de lucru respectiv fac parte trei experți, juriști de profesie. Aceștia au, de asemenea, o serie de alte atribuții în cadrul instituției, după cum urmează:</w:t>
      </w:r>
    </w:p>
    <w:p w14:paraId="0DEB7855"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 Activități de elaborare și avizare actelor normative inițiate de MC și cu incidență în domeniul culturii, precum și asigurarea relației funcționale dintre MC și Parlamentul României;</w:t>
      </w:r>
    </w:p>
    <w:p w14:paraId="1D740715"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 Reprezentarea ministerului în fața instanțelor de judecată;</w:t>
      </w:r>
    </w:p>
    <w:p w14:paraId="07407EEF"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 Avizarea din perspectiva legalității, a actelor cu caracter juridic încheiate de minister, precum și acordarea de asistență juridică compartimentelor ministerului;</w:t>
      </w:r>
    </w:p>
    <w:p w14:paraId="5052432E"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 Asigurarea Secretariatul tehnic al comisiei de monitorizare;</w:t>
      </w:r>
    </w:p>
    <w:p w14:paraId="7EE829ED"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 Activități specifice Compartimentului Managementul Instituțiilor de Cultură.</w:t>
      </w:r>
    </w:p>
    <w:p w14:paraId="2B9D70B8"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În anul 2022 au fost în total 3 incidente de integritate, toate la instituții din subordinea MC, după cum urmează:</w:t>
      </w:r>
    </w:p>
    <w:p w14:paraId="51FA13FE"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 xml:space="preserve">Un incident de integritate la Muzeul Național al Țăranului Român. Măsura adoptată a constat în trimiterea în judecată pentru uzurparea funcției (art. 300 C. </w:t>
      </w:r>
      <w:proofErr w:type="spellStart"/>
      <w:r w:rsidRPr="00D530A0">
        <w:rPr>
          <w:rFonts w:eastAsia="Times New Roman" w:cs="Arial"/>
          <w:bCs/>
          <w:lang w:val="ro-RO"/>
        </w:rPr>
        <w:t>pen</w:t>
      </w:r>
      <w:proofErr w:type="spellEnd"/>
      <w:r w:rsidRPr="00D530A0">
        <w:rPr>
          <w:rFonts w:eastAsia="Times New Roman" w:cs="Arial"/>
          <w:bCs/>
          <w:lang w:val="ro-RO"/>
        </w:rPr>
        <w:t>. rap. la art. 13</w:t>
      </w:r>
      <w:r w:rsidRPr="00D530A0">
        <w:rPr>
          <w:rFonts w:eastAsia="Times New Roman" w:cs="Arial"/>
          <w:bCs/>
          <w:vertAlign w:val="superscript"/>
          <w:lang w:val="ro-RO"/>
        </w:rPr>
        <w:t>2</w:t>
      </w:r>
      <w:r w:rsidRPr="00D530A0">
        <w:rPr>
          <w:rFonts w:eastAsia="Times New Roman" w:cs="Arial"/>
          <w:bCs/>
          <w:lang w:val="ro-RO"/>
        </w:rPr>
        <w:t xml:space="preserve"> din Legea 78/2000). Ca măsură administrativă a fost dispusă elaborarea unei misiuni de audit în vederea stabiliri circumstanțelor producerii incidentului.</w:t>
      </w:r>
    </w:p>
    <w:p w14:paraId="01DDC641"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 xml:space="preserve">Două incidente de integritate la Direcția Județeană pentru Cultură Constanța. Măsura adoptată a constat în trimiterea în judecată pentru </w:t>
      </w:r>
      <w:proofErr w:type="spellStart"/>
      <w:r w:rsidRPr="00D530A0">
        <w:rPr>
          <w:rFonts w:eastAsia="Times New Roman" w:cs="Arial"/>
          <w:bCs/>
          <w:lang w:val="ro-RO"/>
        </w:rPr>
        <w:t>pentru</w:t>
      </w:r>
      <w:proofErr w:type="spellEnd"/>
      <w:r w:rsidRPr="00D530A0">
        <w:rPr>
          <w:rFonts w:eastAsia="Times New Roman" w:cs="Arial"/>
          <w:bCs/>
          <w:lang w:val="ro-RO"/>
        </w:rPr>
        <w:t xml:space="preserve"> săvârșirea infracțiunii de luare de mită (proces </w:t>
      </w:r>
      <w:r w:rsidRPr="00D530A0">
        <w:rPr>
          <w:rFonts w:eastAsia="Times New Roman" w:cs="Arial"/>
          <w:bCs/>
          <w:lang w:val="ro-RO"/>
        </w:rPr>
        <w:lastRenderedPageBreak/>
        <w:t>penal finalizat prin încheierea unui acord de recunoaștere a vinovăției). Ca măsură administrativă a fost dispusă suspendarea raportului de serviciu potrivit prevederilor legale în materie.</w:t>
      </w:r>
    </w:p>
    <w:p w14:paraId="340B49F6"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Deși nu au fost sesizări primite la nivelul Ministerului Culturii – aparatul central, în conformitate cu prevederile art. 5 alin. (2) din metodologie, ministerul a realizat evaluarea celor două incidente de integritate de la nivelul Direcției Județene pentru Cultură Constanța. Drept urmare, au fost întocmite două rapoarte care cuprind o serie de măsuri/recomandări. La momentul efectuării vizitei de evaluare, cele două documente erau în curs de aprobare de către conducerea instituției.</w:t>
      </w:r>
    </w:p>
    <w:p w14:paraId="30212B80"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Grupul de lucru desemnat conform art. 5 alin. (1) din Metodologie nu a beneficiat, în perioada de referință, de programe de formare în domeniul implementării prevederilor legale referitoare la evaluarea incidentelor de integritate, argumentul adus fiind acela că metodologia este clară.</w:t>
      </w:r>
    </w:p>
    <w:p w14:paraId="038EA2C6"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În ceea ce privește solicitările primite de Ministerul Culturii în baza Legii nr. 544/2001 privind accesul la informațiile de interes public, din informațiile prezentate în cadrul vizitei de evaluare reiese că pe parcursul anului 2022 au fost primite 1.800 de astfel de solicitări, marea majoritate (1794 din total) având ca domeniu de interes acte normative și reglementări. Totodată, în baza aceleiași legi au fost efectuate 5 reclamații administrative, toate fiind respinse, și 5 plângeri în instanță la adresa instituției, dintre care 1 a fost respinsă și 4 sunt în curs de soluționare.</w:t>
      </w:r>
    </w:p>
    <w:p w14:paraId="12072E2B"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 xml:space="preserve">În ceea ce privește modalitatea de gestionare în raport cu mass-media a incidentului de la Direcția Județeană pentru Cultură Constanța, Ministerul Culturii nu a emis un comunicat oficial de presă prin care să prezinte poziția oficială a instituției raportat la acest eveniment. Ministrul culturii de la acea dată a condamnat evenimentul respectiv prin declarații de presă. </w:t>
      </w:r>
    </w:p>
    <w:p w14:paraId="3882EFDA" w14:textId="77777777" w:rsidR="00D530A0" w:rsidRPr="00D530A0" w:rsidRDefault="00D530A0" w:rsidP="0090056F">
      <w:pPr>
        <w:spacing w:before="120" w:after="0"/>
        <w:ind w:left="-567"/>
        <w:rPr>
          <w:rFonts w:eastAsia="Times New Roman" w:cs="Arial"/>
          <w:bCs/>
          <w:lang w:val="ro-RO"/>
        </w:rPr>
      </w:pPr>
    </w:p>
    <w:p w14:paraId="12385BEF" w14:textId="77777777" w:rsidR="00D530A0" w:rsidRPr="00D530A0" w:rsidRDefault="00D530A0" w:rsidP="0090056F">
      <w:pPr>
        <w:numPr>
          <w:ilvl w:val="0"/>
          <w:numId w:val="8"/>
        </w:numPr>
        <w:spacing w:before="120" w:after="0"/>
        <w:ind w:left="-567" w:firstLine="0"/>
        <w:rPr>
          <w:rFonts w:eastAsia="Times New Roman" w:cs="Arial"/>
          <w:b/>
          <w:bCs/>
          <w:lang w:val="ro-RO"/>
        </w:rPr>
      </w:pPr>
      <w:r w:rsidRPr="00D530A0">
        <w:rPr>
          <w:rFonts w:eastAsia="Times New Roman" w:cs="Arial"/>
          <w:b/>
          <w:bCs/>
          <w:lang w:val="ro-RO"/>
        </w:rPr>
        <w:t>GESTIONAREA MECANISMULUI DE IMPLEMENTARE A SNA DE CĂTRE INSTITUȚIILE PUBLICE (INCLUSIV ÎNTREPRINDERI PUBLICE)</w:t>
      </w:r>
    </w:p>
    <w:p w14:paraId="7F14D340" w14:textId="77777777" w:rsidR="00D530A0" w:rsidRPr="00D530A0" w:rsidRDefault="00D530A0" w:rsidP="0090056F">
      <w:pPr>
        <w:spacing w:before="120" w:after="0"/>
        <w:ind w:left="-567"/>
        <w:rPr>
          <w:rFonts w:eastAsia="Times New Roman"/>
          <w:shd w:val="clear" w:color="auto" w:fill="FFFFFF"/>
          <w:lang w:val="ro-RO"/>
        </w:rPr>
      </w:pPr>
      <w:r w:rsidRPr="00D530A0">
        <w:rPr>
          <w:rFonts w:eastAsia="Times New Roman"/>
          <w:shd w:val="clear" w:color="auto" w:fill="FFFFFF"/>
          <w:lang w:val="ro-RO"/>
        </w:rPr>
        <w:t>La nivelul Ministerului Culturii, implementarea SNA este gestionată de Comisia de monitorizare, însă din informațiile primite în cadrul vizitei de evaluare reiese că la nivelul instituției nu există suficiente resurse umane pentru atingerea la timp a rezultatelor dorite. Prin urmare, problematicii SNA nu îi sunt alocate suficiente resurse umane, materiale și financiare pentru atingerea rezultatelor avute în vedere.</w:t>
      </w:r>
    </w:p>
    <w:p w14:paraId="5CF94651" w14:textId="77777777" w:rsidR="00D530A0" w:rsidRPr="00D530A0" w:rsidRDefault="00D530A0" w:rsidP="0090056F">
      <w:pPr>
        <w:spacing w:before="120" w:after="0"/>
        <w:ind w:left="-567"/>
        <w:rPr>
          <w:rFonts w:eastAsia="Times New Roman"/>
          <w:shd w:val="clear" w:color="auto" w:fill="FFFFFF"/>
          <w:lang w:val="ro-RO"/>
        </w:rPr>
      </w:pPr>
      <w:r w:rsidRPr="00D530A0">
        <w:rPr>
          <w:rFonts w:eastAsia="Times New Roman"/>
          <w:shd w:val="clear" w:color="auto" w:fill="FFFFFF"/>
          <w:lang w:val="ro-RO"/>
        </w:rPr>
        <w:t>Din chestionarul tematic de evaluare reiese că la nivelul MC au fost luate diverse măsuri în vederea promovării integrității organizaționale, atât în aparatul central, cât și în cadrul subordonatelor MC. Principalele obiective în materie de integritate au fost asumate la nivelul ministerului prin adoptarea Declarației privind asumarea agendei de integritate organizațională la nivelul Ministerului Culturii pentru implementarea Strategiei Naționale Anticorupție 2021-2025. Obiectivele respective au fost transpuse în măsuri prin</w:t>
      </w:r>
      <w:r w:rsidRPr="00D530A0">
        <w:rPr>
          <w:rFonts w:eastAsia="Calibri"/>
          <w:szCs w:val="24"/>
          <w:lang w:val="ro-RO"/>
        </w:rPr>
        <w:t xml:space="preserve"> </w:t>
      </w:r>
      <w:r w:rsidRPr="00D530A0">
        <w:rPr>
          <w:rFonts w:eastAsia="Times New Roman"/>
          <w:shd w:val="clear" w:color="auto" w:fill="FFFFFF"/>
          <w:lang w:val="ro-RO"/>
        </w:rPr>
        <w:t>intermediul Planului de integritate.</w:t>
      </w:r>
    </w:p>
    <w:p w14:paraId="620B8C3B" w14:textId="77777777" w:rsidR="00D530A0" w:rsidRPr="00D530A0" w:rsidRDefault="00D530A0" w:rsidP="0090056F">
      <w:pPr>
        <w:spacing w:before="120"/>
        <w:ind w:left="-567"/>
        <w:rPr>
          <w:rFonts w:eastAsia="Calibri" w:cs="Arial"/>
          <w:szCs w:val="24"/>
          <w:lang w:val="ro-RO"/>
        </w:rPr>
      </w:pPr>
      <w:r w:rsidRPr="00D530A0">
        <w:rPr>
          <w:rFonts w:eastAsia="Calibri"/>
          <w:szCs w:val="24"/>
          <w:lang w:val="ro-RO"/>
        </w:rPr>
        <w:t xml:space="preserve">Planul de integritate la nivelul Ministerului Culturii a fost aprobat prin O.M.C. nr. 3088/28.06.2022, în urma consultării cu structurile din minister, prin intermediul </w:t>
      </w:r>
      <w:r w:rsidRPr="00D530A0">
        <w:rPr>
          <w:rFonts w:eastAsia="Calibri" w:cs="Arial"/>
          <w:szCs w:val="24"/>
          <w:lang w:val="ro-RO"/>
        </w:rPr>
        <w:t xml:space="preserve">Comisiei de monitorizare, coordonare </w:t>
      </w:r>
      <w:proofErr w:type="spellStart"/>
      <w:r w:rsidRPr="00D530A0">
        <w:rPr>
          <w:rFonts w:eastAsia="Calibri" w:cs="Arial"/>
          <w:szCs w:val="24"/>
          <w:lang w:val="ro-RO"/>
        </w:rPr>
        <w:t>şi</w:t>
      </w:r>
      <w:proofErr w:type="spellEnd"/>
      <w:r w:rsidRPr="00D530A0">
        <w:rPr>
          <w:rFonts w:eastAsia="Calibri" w:cs="Arial"/>
          <w:szCs w:val="24"/>
          <w:lang w:val="ro-RO"/>
        </w:rPr>
        <w:t xml:space="preserve"> îndrumare metodologică a dezvoltării sistemului de control intern managerial al Ministerului Culturii. Unul dintre domeniile prioritare în ceea ce privește soluționarea vulnerabilităților este cel referitor la patrimoniul cultural. </w:t>
      </w:r>
    </w:p>
    <w:p w14:paraId="700FA878" w14:textId="77777777" w:rsidR="00D530A0" w:rsidRPr="00D530A0" w:rsidRDefault="00D530A0" w:rsidP="0090056F">
      <w:pPr>
        <w:spacing w:before="120"/>
        <w:ind w:left="-567"/>
        <w:rPr>
          <w:rFonts w:eastAsia="Calibri"/>
          <w:szCs w:val="24"/>
          <w:lang w:val="ro-RO"/>
        </w:rPr>
      </w:pPr>
      <w:r w:rsidRPr="00D530A0">
        <w:rPr>
          <w:rFonts w:eastAsia="Calibri"/>
          <w:szCs w:val="24"/>
          <w:lang w:val="ro-RO"/>
        </w:rPr>
        <w:t xml:space="preserve">Atât </w:t>
      </w:r>
      <w:r w:rsidRPr="00D530A0">
        <w:rPr>
          <w:rFonts w:eastAsia="Times New Roman"/>
          <w:shd w:val="clear" w:color="auto" w:fill="FFFFFF"/>
          <w:lang w:val="ro-RO"/>
        </w:rPr>
        <w:t xml:space="preserve">Declarația cât și </w:t>
      </w:r>
      <w:r w:rsidRPr="00D530A0">
        <w:rPr>
          <w:rFonts w:eastAsia="Calibri"/>
          <w:szCs w:val="24"/>
          <w:lang w:val="ro-RO"/>
        </w:rPr>
        <w:t xml:space="preserve">Planul de integritate au fost publicate pe pagina de internet, la secțiunea </w:t>
      </w:r>
      <w:r w:rsidRPr="00D530A0">
        <w:rPr>
          <w:rFonts w:eastAsia="Calibri"/>
          <w:i/>
          <w:szCs w:val="24"/>
          <w:lang w:val="ro-RO"/>
        </w:rPr>
        <w:t>transparență</w:t>
      </w:r>
      <w:r w:rsidRPr="00D530A0">
        <w:rPr>
          <w:rFonts w:eastAsia="Calibri"/>
          <w:szCs w:val="24"/>
          <w:lang w:val="ro-RO"/>
        </w:rPr>
        <w:t>, subsecțiunea</w:t>
      </w:r>
      <w:r w:rsidRPr="00D530A0">
        <w:rPr>
          <w:rFonts w:eastAsia="Calibri"/>
          <w:i/>
          <w:szCs w:val="24"/>
          <w:lang w:val="ro-RO"/>
        </w:rPr>
        <w:t xml:space="preserve"> integritate</w:t>
      </w:r>
      <w:r w:rsidRPr="00D530A0">
        <w:rPr>
          <w:rFonts w:eastAsia="Calibri"/>
          <w:szCs w:val="24"/>
          <w:lang w:val="ro-RO"/>
        </w:rPr>
        <w:t>.</w:t>
      </w:r>
    </w:p>
    <w:p w14:paraId="23BEF929" w14:textId="77777777" w:rsidR="00D530A0" w:rsidRPr="00D530A0" w:rsidRDefault="00D530A0" w:rsidP="0090056F">
      <w:pPr>
        <w:spacing w:before="120"/>
        <w:ind w:left="-567" w:right="39"/>
        <w:rPr>
          <w:rFonts w:eastAsia="Calibri"/>
          <w:bCs/>
          <w:szCs w:val="24"/>
          <w:lang w:val="ro-RO"/>
        </w:rPr>
      </w:pPr>
      <w:r w:rsidRPr="00D530A0">
        <w:rPr>
          <w:rFonts w:eastAsia="Calibri"/>
          <w:szCs w:val="24"/>
          <w:lang w:val="ro-RO"/>
        </w:rPr>
        <w:t xml:space="preserve">Responsabilii de implementarea SNA au beneficiat de un curs online susținut în prima parte a anului 2022 </w:t>
      </w:r>
      <w:r w:rsidRPr="00D530A0">
        <w:rPr>
          <w:rFonts w:eastAsia="Calibri"/>
          <w:bCs/>
          <w:szCs w:val="24"/>
          <w:lang w:val="ro-RO"/>
        </w:rPr>
        <w:t xml:space="preserve">de către </w:t>
      </w:r>
      <w:proofErr w:type="spellStart"/>
      <w:r w:rsidRPr="00D530A0">
        <w:rPr>
          <w:rFonts w:eastAsia="Calibri"/>
          <w:bCs/>
          <w:szCs w:val="24"/>
          <w:lang w:val="ro-RO"/>
        </w:rPr>
        <w:t>Agenţia</w:t>
      </w:r>
      <w:proofErr w:type="spellEnd"/>
      <w:r w:rsidRPr="00D530A0">
        <w:rPr>
          <w:rFonts w:eastAsia="Calibri"/>
          <w:bCs/>
          <w:szCs w:val="24"/>
          <w:lang w:val="ro-RO"/>
        </w:rPr>
        <w:t xml:space="preserve"> </w:t>
      </w:r>
      <w:proofErr w:type="spellStart"/>
      <w:r w:rsidRPr="00D530A0">
        <w:rPr>
          <w:rFonts w:eastAsia="Calibri"/>
          <w:bCs/>
          <w:szCs w:val="24"/>
          <w:lang w:val="ro-RO"/>
        </w:rPr>
        <w:t>Naţională</w:t>
      </w:r>
      <w:proofErr w:type="spellEnd"/>
      <w:r w:rsidRPr="00D530A0">
        <w:rPr>
          <w:rFonts w:eastAsia="Calibri"/>
          <w:bCs/>
          <w:szCs w:val="24"/>
          <w:lang w:val="ro-RO"/>
        </w:rPr>
        <w:t xml:space="preserve"> de Integritate care a vizat utilizarea platformei e-DAI</w:t>
      </w:r>
      <w:r w:rsidRPr="00D530A0">
        <w:rPr>
          <w:rFonts w:eastAsia="Calibri"/>
          <w:szCs w:val="24"/>
          <w:lang w:val="ro-RO"/>
        </w:rPr>
        <w:t xml:space="preserve">, </w:t>
      </w:r>
      <w:r w:rsidRPr="00D530A0">
        <w:rPr>
          <w:rFonts w:eastAsia="Calibri"/>
          <w:bCs/>
          <w:szCs w:val="24"/>
          <w:lang w:val="ro-RO"/>
        </w:rPr>
        <w:lastRenderedPageBreak/>
        <w:t xml:space="preserve">dedicată atât persoanelor responsabile, cât și deponenților. În total, din partea Ministerului Culturii </w:t>
      </w:r>
      <w:proofErr w:type="spellStart"/>
      <w:r w:rsidRPr="00D530A0">
        <w:rPr>
          <w:rFonts w:eastAsia="Calibri"/>
          <w:bCs/>
          <w:szCs w:val="24"/>
          <w:lang w:val="ro-RO"/>
        </w:rPr>
        <w:t>şi</w:t>
      </w:r>
      <w:proofErr w:type="spellEnd"/>
      <w:r w:rsidRPr="00D530A0">
        <w:rPr>
          <w:rFonts w:eastAsia="Calibri"/>
          <w:bCs/>
          <w:szCs w:val="24"/>
          <w:lang w:val="ro-RO"/>
        </w:rPr>
        <w:t xml:space="preserve"> a </w:t>
      </w:r>
      <w:proofErr w:type="spellStart"/>
      <w:r w:rsidRPr="00D530A0">
        <w:rPr>
          <w:rFonts w:eastAsia="Calibri"/>
          <w:bCs/>
          <w:szCs w:val="24"/>
          <w:lang w:val="ro-RO"/>
        </w:rPr>
        <w:t>instituţiilor</w:t>
      </w:r>
      <w:proofErr w:type="spellEnd"/>
      <w:r w:rsidRPr="00D530A0">
        <w:rPr>
          <w:rFonts w:eastAsia="Calibri"/>
          <w:bCs/>
          <w:szCs w:val="24"/>
          <w:lang w:val="ro-RO"/>
        </w:rPr>
        <w:t xml:space="preserve"> din subordine au participat peste 300 de persoane.</w:t>
      </w:r>
    </w:p>
    <w:p w14:paraId="70694D38" w14:textId="77777777" w:rsidR="00D530A0" w:rsidRPr="00D530A0" w:rsidRDefault="00D530A0" w:rsidP="0090056F">
      <w:pPr>
        <w:spacing w:before="120"/>
        <w:ind w:left="-567" w:right="39"/>
        <w:rPr>
          <w:rFonts w:eastAsia="Calibri"/>
          <w:bCs/>
          <w:szCs w:val="24"/>
          <w:lang w:val="ro-RO"/>
        </w:rPr>
      </w:pPr>
      <w:r w:rsidRPr="00D530A0">
        <w:rPr>
          <w:rFonts w:eastAsia="Calibri"/>
          <w:bCs/>
          <w:szCs w:val="24"/>
          <w:lang w:val="ro-RO"/>
        </w:rPr>
        <w:t>În ceea ce privește procedurile de sistem existente pentru asigurarea respectării standardelor de integritate incluse în Anexa nr. 3, au fost enumerate următoarele:</w:t>
      </w:r>
    </w:p>
    <w:p w14:paraId="12C44772" w14:textId="77777777" w:rsidR="00D530A0" w:rsidRPr="00D530A0" w:rsidRDefault="00D530A0" w:rsidP="0090056F">
      <w:pPr>
        <w:spacing w:before="120"/>
        <w:ind w:left="-567" w:right="39"/>
        <w:rPr>
          <w:rFonts w:eastAsia="Calibri"/>
          <w:szCs w:val="24"/>
          <w:lang w:val="ro-RO"/>
        </w:rPr>
      </w:pPr>
      <w:r w:rsidRPr="00D530A0">
        <w:rPr>
          <w:rFonts w:eastAsia="Calibri"/>
          <w:szCs w:val="24"/>
          <w:lang w:val="ro-RO"/>
        </w:rPr>
        <w:t>Măsura nr. 2 – Declararea averilor și măsura nr. 4 – conflicte de interese (procedură comună celor două măsuri).</w:t>
      </w:r>
    </w:p>
    <w:p w14:paraId="0EF59BB0" w14:textId="77777777" w:rsidR="00D530A0" w:rsidRPr="00D530A0" w:rsidRDefault="00D530A0" w:rsidP="0090056F">
      <w:pPr>
        <w:spacing w:before="120"/>
        <w:ind w:left="-567" w:right="39"/>
        <w:rPr>
          <w:rFonts w:eastAsia="Calibri"/>
          <w:szCs w:val="24"/>
          <w:lang w:val="ro-RO"/>
        </w:rPr>
      </w:pPr>
      <w:r w:rsidRPr="00D530A0">
        <w:rPr>
          <w:rFonts w:eastAsia="Calibri"/>
          <w:szCs w:val="24"/>
          <w:lang w:val="ro-RO"/>
        </w:rPr>
        <w:t>Măsura nr. 3 – Declararea cadourilor</w:t>
      </w:r>
    </w:p>
    <w:p w14:paraId="7F62560C" w14:textId="77777777" w:rsidR="00D530A0" w:rsidRPr="00D530A0" w:rsidRDefault="00D530A0" w:rsidP="0090056F">
      <w:pPr>
        <w:spacing w:before="120"/>
        <w:ind w:left="-567" w:right="39"/>
        <w:rPr>
          <w:rFonts w:eastAsia="Calibri"/>
          <w:szCs w:val="24"/>
          <w:lang w:val="ro-RO"/>
        </w:rPr>
      </w:pPr>
      <w:r w:rsidRPr="00D530A0">
        <w:rPr>
          <w:rFonts w:eastAsia="Calibri"/>
          <w:szCs w:val="24"/>
          <w:lang w:val="ro-RO"/>
        </w:rPr>
        <w:t>Măsura nr. 8 – Acces la informații de interes public</w:t>
      </w:r>
    </w:p>
    <w:p w14:paraId="7A8C0384" w14:textId="77777777" w:rsidR="00D530A0" w:rsidRPr="00D530A0" w:rsidRDefault="00D530A0" w:rsidP="0090056F">
      <w:pPr>
        <w:spacing w:before="120"/>
        <w:ind w:left="-567" w:right="39"/>
        <w:rPr>
          <w:rFonts w:eastAsia="Calibri"/>
          <w:szCs w:val="24"/>
          <w:lang w:val="ro-RO"/>
        </w:rPr>
      </w:pPr>
      <w:r w:rsidRPr="00D530A0">
        <w:rPr>
          <w:rFonts w:eastAsia="Calibri"/>
          <w:szCs w:val="24"/>
          <w:lang w:val="ro-RO"/>
        </w:rPr>
        <w:t>Măsura nr. 9 – Protecția avertizorului de integritate (neactualizată pentru noua legislație). Procedura nouă era pe circuitul de avizare.</w:t>
      </w:r>
    </w:p>
    <w:p w14:paraId="686FD437" w14:textId="77777777" w:rsidR="00D530A0" w:rsidRPr="00D530A0" w:rsidRDefault="00D530A0" w:rsidP="0090056F">
      <w:pPr>
        <w:spacing w:before="120"/>
        <w:ind w:left="-567" w:right="39"/>
        <w:rPr>
          <w:rFonts w:eastAsia="Calibri"/>
          <w:szCs w:val="24"/>
          <w:lang w:val="ro-RO"/>
        </w:rPr>
      </w:pPr>
      <w:r w:rsidRPr="00D530A0">
        <w:rPr>
          <w:rFonts w:eastAsia="Calibri"/>
          <w:szCs w:val="24"/>
          <w:lang w:val="ro-RO"/>
        </w:rPr>
        <w:t>Măsura nr. 11 – Funcții sensibile</w:t>
      </w:r>
    </w:p>
    <w:p w14:paraId="252D2629" w14:textId="77777777" w:rsidR="00D530A0" w:rsidRPr="00D530A0" w:rsidRDefault="00D530A0" w:rsidP="0090056F">
      <w:pPr>
        <w:spacing w:before="120"/>
        <w:ind w:left="-567" w:right="39"/>
        <w:rPr>
          <w:rFonts w:eastAsia="Calibri"/>
          <w:szCs w:val="24"/>
          <w:lang w:val="ro-RO"/>
        </w:rPr>
      </w:pPr>
      <w:r w:rsidRPr="00D530A0">
        <w:rPr>
          <w:rFonts w:eastAsia="Calibri"/>
          <w:szCs w:val="24"/>
          <w:lang w:val="ro-RO"/>
        </w:rPr>
        <w:t>Măsura nr. 12 – Evaluarea riscurilor de corupție</w:t>
      </w:r>
    </w:p>
    <w:p w14:paraId="501DC71D" w14:textId="77777777" w:rsidR="00D530A0" w:rsidRPr="00D530A0" w:rsidRDefault="00D530A0" w:rsidP="0090056F">
      <w:pPr>
        <w:spacing w:before="120"/>
        <w:ind w:left="-567" w:right="39"/>
        <w:rPr>
          <w:rFonts w:eastAsia="Calibri"/>
          <w:szCs w:val="24"/>
          <w:lang w:val="ro-RO"/>
        </w:rPr>
      </w:pPr>
      <w:r w:rsidRPr="00D530A0">
        <w:rPr>
          <w:rFonts w:eastAsia="Calibri"/>
          <w:szCs w:val="24"/>
          <w:lang w:val="ro-RO"/>
        </w:rPr>
        <w:t>Pentru măsura nr. 1 – Cod etic și măsura nr. 5 – consilier de etică, a fost aprobat Codul de conduită etică și integritate al funcționarilor publici și personalului contractual din cadrul Ministerului Culturii, aprobat prin O.M.C. 3328/14.09.2022. Pe circuitul intern de avizare se află proiectul de procedură privind modul de monitorizare a prevederilor codului de conduită.</w:t>
      </w:r>
    </w:p>
    <w:p w14:paraId="216C83AC" w14:textId="77777777" w:rsidR="00D530A0" w:rsidRPr="00D530A0" w:rsidRDefault="00D530A0" w:rsidP="0090056F">
      <w:pPr>
        <w:spacing w:before="120"/>
        <w:ind w:left="-567" w:right="39"/>
        <w:rPr>
          <w:rFonts w:eastAsia="Calibri"/>
          <w:szCs w:val="24"/>
          <w:lang w:val="ro-RO"/>
        </w:rPr>
      </w:pPr>
      <w:r w:rsidRPr="00D530A0">
        <w:rPr>
          <w:rFonts w:eastAsia="Calibri"/>
          <w:szCs w:val="24"/>
          <w:lang w:val="ro-RO"/>
        </w:rPr>
        <w:t>Pentru celelalte măsuri există metodologii/regulamente care asigură implementarea acestora. Nu există o procedură de lucru cu privire la Legea nr. 52/2003 privind transparența decizională în administrația publică. Membrii echipei de evaluare apreciază că activitatea privind aplicarea Legii nr. 52/2003 poate fi îmbunătățită din perspectiva exigențelor incluse în Anexa nr. 4 a SNA, mai ales din perspectiva publicării documentelor în format deschis.</w:t>
      </w:r>
    </w:p>
    <w:p w14:paraId="5B0412AF" w14:textId="3BA74A87" w:rsidR="00D530A0" w:rsidRPr="00D530A0" w:rsidRDefault="00D530A0" w:rsidP="0090056F">
      <w:pPr>
        <w:spacing w:before="120"/>
        <w:ind w:left="-567" w:right="39"/>
        <w:rPr>
          <w:rFonts w:eastAsia="Calibri"/>
          <w:szCs w:val="24"/>
          <w:lang w:val="ro-RO"/>
        </w:rPr>
      </w:pPr>
      <w:r w:rsidRPr="00D530A0">
        <w:rPr>
          <w:rFonts w:eastAsia="Calibri"/>
          <w:szCs w:val="24"/>
          <w:lang w:val="ro-RO"/>
        </w:rPr>
        <w:t xml:space="preserve">Totodată, din informațiile primite în timpul vizitei de evaluare și a documentelor puse ulterior la dispoziția experților evaluatori, reiese că ministerul are în aplicare proceduri precum: Obligațiile de integritate </w:t>
      </w:r>
      <w:proofErr w:type="spellStart"/>
      <w:r w:rsidRPr="00D530A0">
        <w:rPr>
          <w:rFonts w:eastAsia="Calibri"/>
          <w:szCs w:val="24"/>
          <w:lang w:val="ro-RO"/>
        </w:rPr>
        <w:t>şi</w:t>
      </w:r>
      <w:proofErr w:type="spellEnd"/>
      <w:r w:rsidRPr="00D530A0">
        <w:rPr>
          <w:rFonts w:eastAsia="Calibri"/>
          <w:szCs w:val="24"/>
          <w:lang w:val="ro-RO"/>
        </w:rPr>
        <w:t xml:space="preserve"> </w:t>
      </w:r>
      <w:r w:rsidR="00F83F94" w:rsidRPr="00D530A0">
        <w:rPr>
          <w:rFonts w:eastAsia="Calibri"/>
          <w:szCs w:val="24"/>
          <w:lang w:val="ro-RO"/>
        </w:rPr>
        <w:t>transparență</w:t>
      </w:r>
      <w:r w:rsidRPr="00D530A0">
        <w:rPr>
          <w:rFonts w:eastAsia="Calibri"/>
          <w:szCs w:val="24"/>
          <w:lang w:val="ro-RO"/>
        </w:rPr>
        <w:t xml:space="preserve"> în exercitarea </w:t>
      </w:r>
      <w:r w:rsidR="00F83F94" w:rsidRPr="00D530A0">
        <w:rPr>
          <w:rFonts w:eastAsia="Calibri"/>
          <w:szCs w:val="24"/>
          <w:lang w:val="ro-RO"/>
        </w:rPr>
        <w:t>funcțiilor</w:t>
      </w:r>
      <w:r w:rsidRPr="00D530A0">
        <w:rPr>
          <w:rFonts w:eastAsia="Calibri"/>
          <w:szCs w:val="24"/>
          <w:lang w:val="ro-RO"/>
        </w:rPr>
        <w:t xml:space="preserve"> publice la nivelul MCPN - PS – 06; Integrarea </w:t>
      </w:r>
      <w:proofErr w:type="spellStart"/>
      <w:r w:rsidRPr="00D530A0">
        <w:rPr>
          <w:rFonts w:eastAsia="Calibri"/>
          <w:szCs w:val="24"/>
          <w:lang w:val="ro-RO"/>
        </w:rPr>
        <w:t>şi</w:t>
      </w:r>
      <w:proofErr w:type="spellEnd"/>
      <w:r w:rsidRPr="00D530A0">
        <w:rPr>
          <w:rFonts w:eastAsia="Calibri"/>
          <w:szCs w:val="24"/>
          <w:lang w:val="ro-RO"/>
        </w:rPr>
        <w:t xml:space="preserve"> instruirea noilor </w:t>
      </w:r>
      <w:r w:rsidR="00F83F94" w:rsidRPr="00D530A0">
        <w:rPr>
          <w:rFonts w:eastAsia="Calibri"/>
          <w:szCs w:val="24"/>
          <w:lang w:val="ro-RO"/>
        </w:rPr>
        <w:t>angajați</w:t>
      </w:r>
      <w:r w:rsidRPr="00D530A0">
        <w:rPr>
          <w:rFonts w:eastAsia="Calibri"/>
          <w:szCs w:val="24"/>
          <w:lang w:val="ro-RO"/>
        </w:rPr>
        <w:t xml:space="preserve"> în cadrul MCPN </w:t>
      </w:r>
      <w:r w:rsidRPr="00D530A0">
        <w:rPr>
          <w:rFonts w:eastAsia="Calibri" w:cs="Arial"/>
          <w:b/>
          <w:lang w:val="ro-RO"/>
        </w:rPr>
        <w:t>PS-05</w:t>
      </w:r>
      <w:r w:rsidRPr="00D530A0">
        <w:rPr>
          <w:rFonts w:eastAsia="Calibri"/>
          <w:szCs w:val="24"/>
          <w:lang w:val="ro-RO"/>
        </w:rPr>
        <w:t>; Avertizarea în interes public -PS – 10; Managementul Riscului - PS – 08, Ed. II.</w:t>
      </w:r>
    </w:p>
    <w:p w14:paraId="464D9C11" w14:textId="77777777" w:rsidR="00D530A0" w:rsidRPr="00D530A0" w:rsidRDefault="00D530A0" w:rsidP="0090056F">
      <w:pPr>
        <w:spacing w:before="120"/>
        <w:ind w:left="-567" w:right="39"/>
        <w:rPr>
          <w:rFonts w:eastAsia="Calibri"/>
          <w:szCs w:val="24"/>
          <w:lang w:val="ro-RO"/>
        </w:rPr>
      </w:pPr>
      <w:r w:rsidRPr="00D530A0">
        <w:rPr>
          <w:rFonts w:eastAsia="Calibri"/>
          <w:szCs w:val="24"/>
          <w:lang w:val="ro-RO"/>
        </w:rPr>
        <w:t>Referitor la modalitatea în care MC se implică în coordonarea și monitorizarea implementării SNA de către instituții subordonate/ sub coordonare/sub autoritate, reprezentații ministerului au arătat că se implică prin transmiterea unui model de declarație de aderare la SNA și model Plan de integritate, precum și prin monitorizarea indicatorilor de evaluare aferenți inventarului măsurilor de transparență instituțională și de prevenire a corupției și acordarea de sprijin în ceea ce privește elaborarea procedurilor de lucru la nivelul instituțiilor subordonate ori aflate în coordonare. Ministerul Culturii efectuează periodic controale în cadrul instituțiilor subordonate prin intermediul unor echipe mixte, iar corpul de control din cadrul instituției evaluate, pe baza unui plan anual de control, evaluează și implementarea SNA în cadrul instituțiilor subordonate.</w:t>
      </w:r>
    </w:p>
    <w:p w14:paraId="2A68FF82" w14:textId="77777777" w:rsidR="00D530A0" w:rsidRPr="00D530A0" w:rsidRDefault="00D530A0" w:rsidP="0090056F">
      <w:pPr>
        <w:spacing w:before="120" w:after="0"/>
        <w:ind w:left="-567"/>
        <w:contextualSpacing/>
        <w:rPr>
          <w:rFonts w:eastAsia="Times New Roman" w:cs="Arial"/>
          <w:lang w:val="ro-RO"/>
        </w:rPr>
      </w:pPr>
    </w:p>
    <w:p w14:paraId="191EF512" w14:textId="77777777" w:rsidR="00D530A0" w:rsidRPr="00D530A0" w:rsidRDefault="00D530A0" w:rsidP="0090056F">
      <w:pPr>
        <w:pBdr>
          <w:top w:val="single" w:sz="4" w:space="1" w:color="auto"/>
          <w:left w:val="single" w:sz="4" w:space="4" w:color="auto"/>
          <w:bottom w:val="single" w:sz="4" w:space="1" w:color="auto"/>
          <w:right w:val="single" w:sz="4" w:space="4" w:color="auto"/>
        </w:pBdr>
        <w:spacing w:before="120" w:after="0"/>
        <w:ind w:left="-567"/>
        <w:rPr>
          <w:rFonts w:eastAsia="Times New Roman" w:cs="Arial"/>
          <w:b/>
          <w:lang w:val="ro-RO"/>
        </w:rPr>
      </w:pPr>
      <w:r w:rsidRPr="00D530A0">
        <w:rPr>
          <w:rFonts w:eastAsia="Times New Roman" w:cs="Arial"/>
          <w:b/>
          <w:lang w:val="ro-RO"/>
        </w:rPr>
        <w:t xml:space="preserve">III. BUNE PRACTICI </w:t>
      </w:r>
    </w:p>
    <w:p w14:paraId="53AC7B05" w14:textId="77777777" w:rsidR="00D530A0" w:rsidRPr="00D530A0" w:rsidRDefault="00D530A0" w:rsidP="0090056F">
      <w:pPr>
        <w:numPr>
          <w:ilvl w:val="0"/>
          <w:numId w:val="35"/>
        </w:numPr>
        <w:spacing w:before="120" w:after="0"/>
        <w:ind w:left="-567" w:firstLine="0"/>
        <w:rPr>
          <w:rFonts w:eastAsia="Calibri"/>
          <w:b/>
          <w:lang w:val="ro-RO"/>
        </w:rPr>
      </w:pPr>
      <w:r w:rsidRPr="00D530A0">
        <w:rPr>
          <w:rFonts w:eastAsia="Times New Roman" w:cs="Arial"/>
          <w:b/>
          <w:bCs/>
          <w:lang w:val="ro-RO"/>
        </w:rPr>
        <w:t>EVALUAREA</w:t>
      </w:r>
      <w:r w:rsidRPr="00D530A0">
        <w:rPr>
          <w:rFonts w:eastAsia="Calibri"/>
          <w:b/>
          <w:lang w:val="ro-RO"/>
        </w:rPr>
        <w:t xml:space="preserve"> RISCURILOR DE CORUPȚIE ÎN CADRUL AUTORITĂȚILOR ȘI INSTITUȚIILOR PUBLICE CENTRALE ȘI LOCALE</w:t>
      </w:r>
    </w:p>
    <w:p w14:paraId="1AF85399" w14:textId="77777777" w:rsidR="00D530A0" w:rsidRPr="00D530A0" w:rsidRDefault="00D530A0" w:rsidP="0090056F">
      <w:pPr>
        <w:spacing w:before="120" w:after="0"/>
        <w:ind w:left="-567"/>
        <w:rPr>
          <w:rFonts w:eastAsia="Calibri"/>
          <w:lang w:val="ro-RO"/>
        </w:rPr>
      </w:pPr>
      <w:r w:rsidRPr="00D530A0">
        <w:rPr>
          <w:rFonts w:eastAsia="Calibri"/>
          <w:lang w:val="ro-RO"/>
        </w:rPr>
        <w:t>Nu au fost identificate.</w:t>
      </w:r>
    </w:p>
    <w:p w14:paraId="43ABD3D2" w14:textId="77777777" w:rsidR="00D530A0" w:rsidRPr="00D530A0" w:rsidRDefault="00D530A0" w:rsidP="0090056F">
      <w:pPr>
        <w:numPr>
          <w:ilvl w:val="0"/>
          <w:numId w:val="35"/>
        </w:numPr>
        <w:spacing w:before="120" w:after="0"/>
        <w:ind w:left="-567" w:firstLine="0"/>
        <w:rPr>
          <w:rFonts w:eastAsia="Times New Roman"/>
          <w:b/>
          <w:bCs/>
          <w:shd w:val="clear" w:color="auto" w:fill="FFFFFF"/>
          <w:lang w:val="ro-RO"/>
        </w:rPr>
      </w:pPr>
      <w:r w:rsidRPr="00D530A0">
        <w:rPr>
          <w:rFonts w:eastAsia="Times New Roman" w:cs="Arial"/>
          <w:b/>
          <w:bCs/>
          <w:lang w:val="ro-RO"/>
        </w:rPr>
        <w:lastRenderedPageBreak/>
        <w:t>EVALUAREA</w:t>
      </w:r>
      <w:r w:rsidRPr="00D530A0">
        <w:rPr>
          <w:rFonts w:eastAsia="Calibri"/>
          <w:b/>
          <w:bCs/>
          <w:szCs w:val="24"/>
          <w:lang w:val="ro-RO"/>
        </w:rPr>
        <w:t xml:space="preserve"> INCIDENTELOR DE INTEGRITATE ÎN CADRUL AUTORITĂȚILOR ȘI INSTITUȚIILOR PUBLICE CENTRALE ȘI LOCALE </w:t>
      </w:r>
    </w:p>
    <w:p w14:paraId="31EA04D1" w14:textId="77777777" w:rsidR="00D530A0" w:rsidRPr="00D530A0" w:rsidRDefault="00D530A0" w:rsidP="0090056F">
      <w:pPr>
        <w:spacing w:before="120" w:after="0"/>
        <w:ind w:left="-567"/>
        <w:rPr>
          <w:rFonts w:eastAsia="Times New Roman"/>
          <w:bCs/>
          <w:shd w:val="clear" w:color="auto" w:fill="FFFFFF"/>
          <w:lang w:val="ro-RO"/>
        </w:rPr>
      </w:pPr>
      <w:r w:rsidRPr="00D530A0">
        <w:rPr>
          <w:rFonts w:eastAsia="Times New Roman" w:cs="Arial"/>
          <w:bCs/>
          <w:lang w:val="ro-RO"/>
        </w:rPr>
        <w:t>Nu au fost identificate.</w:t>
      </w:r>
    </w:p>
    <w:p w14:paraId="79C7A47B" w14:textId="77777777" w:rsidR="00D530A0" w:rsidRPr="00D530A0" w:rsidRDefault="00D530A0" w:rsidP="0090056F">
      <w:pPr>
        <w:numPr>
          <w:ilvl w:val="0"/>
          <w:numId w:val="35"/>
        </w:numPr>
        <w:spacing w:before="120" w:after="0"/>
        <w:ind w:left="-567" w:firstLine="0"/>
        <w:rPr>
          <w:rFonts w:eastAsia="Times New Roman"/>
          <w:b/>
          <w:bCs/>
          <w:shd w:val="clear" w:color="auto" w:fill="FFFFFF"/>
          <w:lang w:val="ro-RO"/>
        </w:rPr>
      </w:pPr>
      <w:r w:rsidRPr="00D530A0">
        <w:rPr>
          <w:rFonts w:eastAsia="Times New Roman" w:cs="Arial"/>
          <w:b/>
          <w:bCs/>
          <w:lang w:val="ro-RO"/>
        </w:rPr>
        <w:t>G</w:t>
      </w:r>
      <w:r w:rsidRPr="00D530A0">
        <w:rPr>
          <w:rFonts w:eastAsia="Calibri" w:cs="Arial"/>
          <w:b/>
          <w:bCs/>
          <w:szCs w:val="24"/>
          <w:lang w:val="ro-RO"/>
        </w:rPr>
        <w:t>ESTIONAREA</w:t>
      </w:r>
      <w:r w:rsidRPr="00D530A0">
        <w:rPr>
          <w:rFonts w:eastAsia="Calibri"/>
          <w:b/>
          <w:bCs/>
          <w:szCs w:val="24"/>
          <w:lang w:val="ro-RO"/>
        </w:rPr>
        <w:t xml:space="preserve"> MECANISMULUI DE IMPLEMENTARE A SNA DE CĂTRE INSTITUȚIILE PUBLICE (INCLUSIV ÎNTREPRINDERI PUBLICE)</w:t>
      </w:r>
    </w:p>
    <w:p w14:paraId="7AFE0BB9" w14:textId="77777777" w:rsidR="00D530A0" w:rsidRPr="00D530A0" w:rsidRDefault="00D530A0" w:rsidP="00F83F94">
      <w:pPr>
        <w:numPr>
          <w:ilvl w:val="1"/>
          <w:numId w:val="3"/>
        </w:numPr>
        <w:tabs>
          <w:tab w:val="left" w:pos="0"/>
        </w:tabs>
        <w:spacing w:before="120" w:after="0"/>
        <w:ind w:left="-567" w:firstLine="0"/>
        <w:rPr>
          <w:rFonts w:eastAsia="Times New Roman"/>
          <w:bCs/>
          <w:shd w:val="clear" w:color="auto" w:fill="FFFFFF"/>
          <w:lang w:val="ro-RO"/>
        </w:rPr>
      </w:pPr>
      <w:r w:rsidRPr="00D530A0">
        <w:rPr>
          <w:rFonts w:eastAsia="Times New Roman" w:cs="Arial"/>
          <w:bCs/>
          <w:lang w:val="ro-RO"/>
        </w:rPr>
        <w:t>implicarea Ministerului Culturii în modul de gestionare și implementare a standardelor SNA în cadrul instituțiilor subordonate;</w:t>
      </w:r>
    </w:p>
    <w:p w14:paraId="7F14C0F3" w14:textId="77777777" w:rsidR="00D530A0" w:rsidRPr="00D530A0" w:rsidRDefault="00D530A0" w:rsidP="00F83F94">
      <w:pPr>
        <w:numPr>
          <w:ilvl w:val="1"/>
          <w:numId w:val="3"/>
        </w:numPr>
        <w:tabs>
          <w:tab w:val="left" w:pos="0"/>
        </w:tabs>
        <w:spacing w:before="120" w:after="0"/>
        <w:ind w:left="-567" w:firstLine="0"/>
        <w:rPr>
          <w:rFonts w:eastAsia="Times New Roman"/>
          <w:bCs/>
          <w:shd w:val="clear" w:color="auto" w:fill="FFFFFF"/>
          <w:lang w:val="ro-RO"/>
        </w:rPr>
      </w:pPr>
      <w:r w:rsidRPr="00D530A0">
        <w:rPr>
          <w:rFonts w:eastAsia="Calibri"/>
          <w:szCs w:val="24"/>
          <w:lang w:val="ro-RO"/>
        </w:rPr>
        <w:t>Ministerul Culturii efectuează periodic controale în cadrul instituțiilor subordonate prin intermediul unor echipe mixte, iar corpul de control din cadrul instituției evaluate, pe baza unui plan anual de control, evaluează și implementarea SNA în cadrul instituțiilor subordonate.</w:t>
      </w:r>
    </w:p>
    <w:p w14:paraId="5A3B1726" w14:textId="77777777" w:rsidR="00D530A0" w:rsidRPr="00D530A0" w:rsidRDefault="00D530A0" w:rsidP="0090056F">
      <w:pPr>
        <w:spacing w:before="120"/>
        <w:ind w:left="-567"/>
        <w:rPr>
          <w:rFonts w:eastAsia="Times New Roman" w:cs="Arial"/>
          <w:lang w:val="ro-RO"/>
        </w:rPr>
      </w:pPr>
    </w:p>
    <w:p w14:paraId="27F3E3CC" w14:textId="77777777" w:rsidR="00D530A0" w:rsidRPr="00D530A0" w:rsidRDefault="00D530A0" w:rsidP="0090056F">
      <w:pPr>
        <w:pBdr>
          <w:top w:val="single" w:sz="4" w:space="1" w:color="auto"/>
          <w:left w:val="single" w:sz="4" w:space="4" w:color="auto"/>
          <w:bottom w:val="single" w:sz="4" w:space="1" w:color="auto"/>
          <w:right w:val="single" w:sz="4" w:space="4" w:color="auto"/>
        </w:pBdr>
        <w:spacing w:before="120" w:after="0"/>
        <w:ind w:left="-567"/>
        <w:rPr>
          <w:rFonts w:eastAsia="Times New Roman" w:cs="Arial"/>
          <w:b/>
          <w:lang w:val="ro-RO"/>
        </w:rPr>
      </w:pPr>
      <w:r w:rsidRPr="00D530A0">
        <w:rPr>
          <w:rFonts w:eastAsia="Times New Roman" w:cs="Arial"/>
          <w:b/>
          <w:lang w:val="ro-RO"/>
        </w:rPr>
        <w:t xml:space="preserve">IV. CONCLUZII ȘI RECOMANDĂRI </w:t>
      </w:r>
    </w:p>
    <w:p w14:paraId="5276DE87" w14:textId="77777777" w:rsidR="00D530A0" w:rsidRPr="00D530A0" w:rsidRDefault="00D530A0" w:rsidP="0090056F">
      <w:pPr>
        <w:numPr>
          <w:ilvl w:val="0"/>
          <w:numId w:val="36"/>
        </w:numPr>
        <w:spacing w:before="120" w:after="0"/>
        <w:ind w:left="-567" w:firstLine="0"/>
        <w:rPr>
          <w:rFonts w:eastAsia="Times New Roman" w:cs="Arial"/>
          <w:b/>
          <w:bCs/>
          <w:lang w:val="ro-RO"/>
        </w:rPr>
      </w:pPr>
      <w:r w:rsidRPr="00D530A0">
        <w:rPr>
          <w:rFonts w:eastAsia="Times New Roman" w:cs="Arial"/>
          <w:b/>
          <w:bCs/>
          <w:lang w:val="ro-RO"/>
        </w:rPr>
        <w:t xml:space="preserve">EVALUAREA RISCURILOR DE CORUPȚIE ÎN CADRUL AUTORITĂȚILOR ȘI INSTITUȚIILOR PUBLICE CENTRALE ȘI LOCALE </w:t>
      </w:r>
    </w:p>
    <w:p w14:paraId="3543BD95"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În vederea îmbunătățirii activităților desfășurate în acest domeniu, formulăm următoarele recomandări:</w:t>
      </w:r>
    </w:p>
    <w:p w14:paraId="02CCBD1F" w14:textId="5B0B64F3"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 xml:space="preserve">1. </w:t>
      </w:r>
      <w:r w:rsidRPr="00D530A0">
        <w:rPr>
          <w:rFonts w:eastAsia="Calibri"/>
          <w:szCs w:val="24"/>
          <w:lang w:val="ro-RO"/>
        </w:rPr>
        <w:t xml:space="preserve"> </w:t>
      </w:r>
      <w:bookmarkStart w:id="3" w:name="_Hlk150944338"/>
      <w:r w:rsidRPr="00D530A0">
        <w:rPr>
          <w:rFonts w:eastAsia="Calibri"/>
          <w:szCs w:val="24"/>
          <w:lang w:val="ro-RO"/>
        </w:rPr>
        <w:t>Analiza periodică a necesității revizuirii planului de integritate ca urmare a actualizării anuale a Registrului riscurilor de corupție elaborat conform H</w:t>
      </w:r>
      <w:r w:rsidR="006E3345">
        <w:rPr>
          <w:rFonts w:eastAsia="Calibri"/>
          <w:szCs w:val="24"/>
          <w:lang w:val="ro-RO"/>
        </w:rPr>
        <w:t>.</w:t>
      </w:r>
      <w:r w:rsidRPr="00D530A0">
        <w:rPr>
          <w:rFonts w:eastAsia="Calibri"/>
          <w:szCs w:val="24"/>
          <w:lang w:val="ro-RO"/>
        </w:rPr>
        <w:t>G</w:t>
      </w:r>
      <w:r w:rsidR="006E3345">
        <w:rPr>
          <w:rFonts w:eastAsia="Calibri"/>
          <w:szCs w:val="24"/>
          <w:lang w:val="ro-RO"/>
        </w:rPr>
        <w:t>.</w:t>
      </w:r>
      <w:r w:rsidRPr="00D530A0">
        <w:rPr>
          <w:rFonts w:eastAsia="Calibri"/>
          <w:szCs w:val="24"/>
          <w:lang w:val="ro-RO"/>
        </w:rPr>
        <w:t xml:space="preserve"> 599/2016</w:t>
      </w:r>
      <w:bookmarkEnd w:id="3"/>
      <w:r w:rsidRPr="00D530A0">
        <w:rPr>
          <w:rFonts w:eastAsia="Calibri"/>
          <w:szCs w:val="24"/>
          <w:lang w:val="ro-RO"/>
        </w:rPr>
        <w:t>;</w:t>
      </w:r>
    </w:p>
    <w:p w14:paraId="03800663"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2. Creșterea gradului de conștientizare a personalului MC cu privire la avantajele și importanța activităților din domeniul evaluării riscurilor de corupție;</w:t>
      </w:r>
    </w:p>
    <w:p w14:paraId="6181B950"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bCs/>
          <w:lang w:val="ro-RO"/>
        </w:rPr>
        <w:t>3. Având în vedere constatarea privind subdimensionarea personalului Ministerului Culturii, precum și faptul că unele departamente au o schemă de personal ocupată doar în proporție de un sfert, se recomandă luarea unor inițiative menite să stimuleze recrutarea și retenția personalului calificat în domeniul cultural;</w:t>
      </w:r>
    </w:p>
    <w:p w14:paraId="48AF2F7C" w14:textId="77777777" w:rsidR="00D530A0" w:rsidRPr="00D530A0" w:rsidRDefault="00D530A0" w:rsidP="0090056F">
      <w:pPr>
        <w:spacing w:before="120" w:after="0"/>
        <w:ind w:left="-567"/>
        <w:rPr>
          <w:rFonts w:eastAsia="Times New Roman" w:cs="Arial"/>
          <w:bCs/>
          <w:lang w:val="ro-RO"/>
        </w:rPr>
      </w:pPr>
    </w:p>
    <w:p w14:paraId="03BD7527" w14:textId="77777777" w:rsidR="00D530A0" w:rsidRPr="00D530A0" w:rsidRDefault="00D530A0" w:rsidP="0090056F">
      <w:pPr>
        <w:numPr>
          <w:ilvl w:val="0"/>
          <w:numId w:val="36"/>
        </w:numPr>
        <w:spacing w:before="120" w:after="0"/>
        <w:ind w:left="-567" w:firstLine="0"/>
        <w:rPr>
          <w:rFonts w:eastAsia="Times New Roman"/>
          <w:b/>
          <w:bCs/>
          <w:shd w:val="clear" w:color="auto" w:fill="FFFFFF"/>
          <w:lang w:val="ro-RO"/>
        </w:rPr>
      </w:pPr>
      <w:r w:rsidRPr="00D530A0">
        <w:rPr>
          <w:rFonts w:eastAsia="Times New Roman" w:cs="Arial"/>
          <w:b/>
          <w:bCs/>
          <w:lang w:val="ro-RO"/>
        </w:rPr>
        <w:t xml:space="preserve">EVALUAREA INCIDENTELOR DE INTEGRITATE ÎN CADRUL AUTORITĂȚILOR ȘI INSTITUȚIILOR PUBLICE CENTRALE ȘI LOCALE </w:t>
      </w:r>
    </w:p>
    <w:p w14:paraId="16440920" w14:textId="77777777" w:rsidR="00D530A0" w:rsidRPr="00D530A0" w:rsidRDefault="00D530A0" w:rsidP="0090056F">
      <w:pPr>
        <w:spacing w:before="120" w:after="0"/>
        <w:ind w:left="-567"/>
        <w:rPr>
          <w:rFonts w:eastAsia="Times New Roman"/>
          <w:bCs/>
          <w:shd w:val="clear" w:color="auto" w:fill="FFFFFF"/>
          <w:lang w:val="ro-RO"/>
        </w:rPr>
      </w:pPr>
      <w:r w:rsidRPr="00D530A0">
        <w:rPr>
          <w:rFonts w:eastAsia="Times New Roman"/>
          <w:bCs/>
          <w:shd w:val="clear" w:color="auto" w:fill="FFFFFF"/>
          <w:lang w:val="ro-RO"/>
        </w:rPr>
        <w:t>În vederea îmbunătățirii activităților desfășurate în acest domeniu, formulăm următoarele recomandări:</w:t>
      </w:r>
    </w:p>
    <w:p w14:paraId="4B1ECDB1" w14:textId="77777777" w:rsidR="00D530A0" w:rsidRPr="00D530A0" w:rsidRDefault="00D530A0" w:rsidP="0090056F">
      <w:pPr>
        <w:spacing w:before="120" w:after="0"/>
        <w:ind w:left="-567"/>
        <w:rPr>
          <w:rFonts w:eastAsia="Times New Roman"/>
          <w:bCs/>
          <w:shd w:val="clear" w:color="auto" w:fill="FFFFFF"/>
          <w:lang w:val="ro-RO"/>
        </w:rPr>
      </w:pPr>
      <w:r w:rsidRPr="00D530A0">
        <w:rPr>
          <w:rFonts w:eastAsia="Times New Roman"/>
          <w:bCs/>
          <w:shd w:val="clear" w:color="auto" w:fill="FFFFFF"/>
          <w:lang w:val="ro-RO"/>
        </w:rPr>
        <w:t>1. În vederea consolidării demersurilor de evaluare a incidentelor de integritate, se recomandă organizarea unor ședințe a Grupului de lucru care să vizeze aprofundarea noțiunilor definite la art. 2 din Metodologia de evaluare a incidentelor de integritate în carul autorităților și instituțiilor publice centrale, inclusiv prin cooptarea ST SNA;</w:t>
      </w:r>
    </w:p>
    <w:p w14:paraId="77C5DA8F" w14:textId="77777777" w:rsidR="00D530A0" w:rsidRPr="00D530A0" w:rsidRDefault="00D530A0" w:rsidP="0090056F">
      <w:pPr>
        <w:spacing w:before="120" w:after="0"/>
        <w:ind w:left="-567"/>
        <w:rPr>
          <w:rFonts w:eastAsia="Times New Roman"/>
          <w:bCs/>
          <w:shd w:val="clear" w:color="auto" w:fill="FFFFFF"/>
          <w:lang w:val="ro-RO"/>
        </w:rPr>
      </w:pPr>
      <w:r w:rsidRPr="00D530A0">
        <w:rPr>
          <w:rFonts w:eastAsia="Times New Roman"/>
          <w:bCs/>
          <w:shd w:val="clear" w:color="auto" w:fill="FFFFFF"/>
          <w:lang w:val="ro-RO"/>
        </w:rPr>
        <w:t>2. Organizarea și realizarea unei sesiuni de informare privind legislația în domeniul protecției avertizorului în interes public, precum și cu referire la prevederile procedurilor interne în domeniu, cu întreg personalul;</w:t>
      </w:r>
    </w:p>
    <w:p w14:paraId="7C5EA94A" w14:textId="77777777" w:rsidR="00D530A0" w:rsidRPr="00D530A0" w:rsidRDefault="00D530A0" w:rsidP="0090056F">
      <w:pPr>
        <w:spacing w:before="120" w:after="0"/>
        <w:ind w:left="-567"/>
        <w:rPr>
          <w:rFonts w:eastAsia="Times New Roman"/>
          <w:bCs/>
          <w:shd w:val="clear" w:color="auto" w:fill="FFFFFF"/>
          <w:lang w:val="ro-RO"/>
        </w:rPr>
      </w:pPr>
      <w:r w:rsidRPr="00D530A0">
        <w:rPr>
          <w:rFonts w:eastAsia="Times New Roman"/>
          <w:bCs/>
          <w:shd w:val="clear" w:color="auto" w:fill="FFFFFF"/>
          <w:lang w:val="ro-RO"/>
        </w:rPr>
        <w:t>3. Verificarea gradului de cunoaștere/aprofundare a legislației specifice de către personalul MC, eventual prin aplicarea unor chestionare de evaluare și adoptarea unor măsuri de îmbunătățire a gradului de cunoaștere, dacă sunt necesare.</w:t>
      </w:r>
    </w:p>
    <w:p w14:paraId="56917A23" w14:textId="77777777" w:rsidR="00D530A0" w:rsidRPr="00D530A0" w:rsidRDefault="00D530A0" w:rsidP="0090056F">
      <w:pPr>
        <w:spacing w:before="120" w:after="0"/>
        <w:ind w:left="-567"/>
        <w:rPr>
          <w:rFonts w:eastAsia="Times New Roman"/>
          <w:bCs/>
          <w:shd w:val="clear" w:color="auto" w:fill="FFFFFF"/>
          <w:lang w:val="ro-RO"/>
        </w:rPr>
      </w:pPr>
    </w:p>
    <w:p w14:paraId="26076D1A" w14:textId="77777777" w:rsidR="00D530A0" w:rsidRPr="00D530A0" w:rsidRDefault="00D530A0" w:rsidP="0090056F">
      <w:pPr>
        <w:numPr>
          <w:ilvl w:val="0"/>
          <w:numId w:val="36"/>
        </w:numPr>
        <w:spacing w:before="120" w:after="0"/>
        <w:ind w:left="-567" w:firstLine="0"/>
        <w:rPr>
          <w:rFonts w:eastAsia="Times New Roman"/>
          <w:b/>
          <w:bCs/>
          <w:shd w:val="clear" w:color="auto" w:fill="FFFFFF"/>
          <w:lang w:val="ro-RO"/>
        </w:rPr>
      </w:pPr>
      <w:r w:rsidRPr="00D530A0">
        <w:rPr>
          <w:rFonts w:eastAsia="Times New Roman" w:cs="Arial"/>
          <w:b/>
          <w:bCs/>
          <w:lang w:val="ro-RO"/>
        </w:rPr>
        <w:lastRenderedPageBreak/>
        <w:t>G</w:t>
      </w:r>
      <w:r w:rsidRPr="00D530A0">
        <w:rPr>
          <w:rFonts w:eastAsia="Calibri" w:cs="Arial"/>
          <w:b/>
          <w:bCs/>
          <w:szCs w:val="24"/>
          <w:lang w:val="ro-RO"/>
        </w:rPr>
        <w:t>ESTIONAREA</w:t>
      </w:r>
      <w:r w:rsidRPr="00D530A0">
        <w:rPr>
          <w:rFonts w:eastAsia="Calibri"/>
          <w:b/>
          <w:bCs/>
          <w:szCs w:val="24"/>
          <w:lang w:val="ro-RO"/>
        </w:rPr>
        <w:t xml:space="preserve"> MECANISMULUI DE IMPLEMENTARE A SNA DE CĂTRE INSTITUȚIILE PUBLICE (INCLUSIV ÎNTREPRINDERI PUBLICE)</w:t>
      </w:r>
    </w:p>
    <w:p w14:paraId="05F156DD" w14:textId="77777777" w:rsidR="00D530A0" w:rsidRPr="00D530A0" w:rsidRDefault="00D530A0" w:rsidP="0090056F">
      <w:pPr>
        <w:spacing w:before="120" w:after="0"/>
        <w:ind w:left="-567"/>
        <w:rPr>
          <w:rFonts w:eastAsia="Times New Roman"/>
          <w:bCs/>
          <w:shd w:val="clear" w:color="auto" w:fill="FFFFFF"/>
          <w:lang w:val="ro-RO"/>
        </w:rPr>
      </w:pPr>
      <w:r w:rsidRPr="00D530A0">
        <w:rPr>
          <w:rFonts w:eastAsia="Times New Roman"/>
          <w:bCs/>
          <w:shd w:val="clear" w:color="auto" w:fill="FFFFFF"/>
          <w:lang w:val="ro-RO"/>
        </w:rPr>
        <w:t>În vederea îmbunătățirii activităților desfășurate în acest domeniu, formulăm următoarele recomandări:</w:t>
      </w:r>
    </w:p>
    <w:p w14:paraId="169E1CA7" w14:textId="77777777" w:rsidR="00D530A0" w:rsidRPr="00D530A0" w:rsidRDefault="00D530A0" w:rsidP="0090056F">
      <w:pPr>
        <w:spacing w:before="120" w:after="0"/>
        <w:ind w:left="-567"/>
        <w:rPr>
          <w:rFonts w:eastAsia="Times New Roman" w:cs="Arial"/>
          <w:lang w:val="ro-RO"/>
        </w:rPr>
      </w:pPr>
      <w:bookmarkStart w:id="4" w:name="_Hlk150944666"/>
      <w:r w:rsidRPr="00D530A0">
        <w:rPr>
          <w:rFonts w:eastAsia="Times New Roman" w:cs="Arial"/>
          <w:lang w:val="ro-RO"/>
        </w:rPr>
        <w:t>1. Efectuarea de programe de pregătire profesionale corespunzătoare pentru persoanele responsabile cu implementarea/monitorizarea aspectelor de integritate, implementarea SNA și aplicarea periodică de chestionare privind evaluarea gradului de cunoaștere a informațiilor din domeniu;</w:t>
      </w:r>
    </w:p>
    <w:p w14:paraId="4ABDE744" w14:textId="77777777" w:rsidR="00D530A0" w:rsidRPr="00D530A0" w:rsidRDefault="00D530A0" w:rsidP="0090056F">
      <w:pPr>
        <w:spacing w:before="120" w:after="0"/>
        <w:ind w:left="-567"/>
        <w:rPr>
          <w:rFonts w:eastAsia="Times New Roman" w:cs="Arial"/>
          <w:bCs/>
          <w:lang w:val="ro-RO"/>
        </w:rPr>
      </w:pPr>
      <w:r w:rsidRPr="00D530A0">
        <w:rPr>
          <w:rFonts w:eastAsia="Times New Roman" w:cs="Arial"/>
          <w:lang w:val="ro-RO"/>
        </w:rPr>
        <w:t xml:space="preserve">2. </w:t>
      </w:r>
      <w:r w:rsidRPr="00D530A0">
        <w:rPr>
          <w:rFonts w:eastAsia="Times New Roman" w:cs="Arial"/>
          <w:bCs/>
          <w:lang w:val="ro-RO"/>
        </w:rPr>
        <w:t>Actualizarea, dacă este cazul, a procedurilor operaționale referitoare la implementarea standardelor prevăzute în extenso în Anexa nr. 3 din H.G. nr. 1269/2021, precum și luarea unor măsuri specifice evitării supra-</w:t>
      </w:r>
      <w:proofErr w:type="spellStart"/>
      <w:r w:rsidRPr="00D530A0">
        <w:rPr>
          <w:rFonts w:eastAsia="Times New Roman" w:cs="Arial"/>
          <w:bCs/>
          <w:lang w:val="ro-RO"/>
        </w:rPr>
        <w:t>procedurizării</w:t>
      </w:r>
      <w:proofErr w:type="spellEnd"/>
      <w:r w:rsidRPr="00D530A0">
        <w:rPr>
          <w:rFonts w:eastAsia="Times New Roman" w:cs="Arial"/>
          <w:bCs/>
          <w:lang w:val="ro-RO"/>
        </w:rPr>
        <w:t xml:space="preserve"> activității instituționale;</w:t>
      </w:r>
    </w:p>
    <w:bookmarkEnd w:id="4"/>
    <w:p w14:paraId="725E092C" w14:textId="77777777" w:rsidR="00D530A0" w:rsidRPr="00D530A0" w:rsidRDefault="00D530A0" w:rsidP="0090056F">
      <w:pPr>
        <w:spacing w:before="120" w:after="0"/>
        <w:ind w:left="-567"/>
        <w:rPr>
          <w:rFonts w:eastAsia="Times New Roman" w:cs="Arial"/>
          <w:lang w:val="ro-RO"/>
        </w:rPr>
      </w:pPr>
      <w:r w:rsidRPr="00D530A0">
        <w:rPr>
          <w:rFonts w:eastAsia="Times New Roman" w:cs="Arial"/>
          <w:lang w:val="ro-RO"/>
        </w:rPr>
        <w:t xml:space="preserve">3. Asigurarea resurselor necesare implementării standardelor SNA adoptate și a documentelor necesare atingerii obiectivelor asumate, cu necesitatea urmăririi de către conducerea instituției a implementării tuturor prevederilor actelor normative din domeniul de referință și a măsurilor necesare  în vederea asigurării unui mediu de integritate ridicat; </w:t>
      </w:r>
    </w:p>
    <w:p w14:paraId="1C92C549" w14:textId="77777777" w:rsidR="00D530A0" w:rsidRPr="00D530A0" w:rsidRDefault="00D530A0" w:rsidP="00D530A0">
      <w:pPr>
        <w:spacing w:before="120" w:after="0"/>
        <w:ind w:left="284"/>
        <w:rPr>
          <w:rFonts w:eastAsia="Times New Roman" w:cs="Arial"/>
          <w:lang w:val="ro-RO"/>
        </w:rPr>
      </w:pPr>
    </w:p>
    <w:p w14:paraId="1C08C572" w14:textId="77777777" w:rsidR="00FF554B" w:rsidRPr="004E3089" w:rsidRDefault="00FF554B" w:rsidP="00D530A0">
      <w:pPr>
        <w:spacing w:before="120"/>
        <w:ind w:left="0"/>
      </w:pPr>
    </w:p>
    <w:sectPr w:rsidR="00FF554B" w:rsidRPr="004E3089" w:rsidSect="008F184C">
      <w:headerReference w:type="default" r:id="rId9"/>
      <w:footerReference w:type="default" r:id="rId10"/>
      <w:headerReference w:type="first" r:id="rId11"/>
      <w:footerReference w:type="first" r:id="rId12"/>
      <w:pgSz w:w="11900" w:h="16840" w:code="9"/>
      <w:pgMar w:top="1418" w:right="567" w:bottom="1418" w:left="2268" w:header="56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BD1F0" w14:textId="77777777" w:rsidR="00C0001A" w:rsidRDefault="00C0001A" w:rsidP="00CD5B3B">
      <w:r>
        <w:separator/>
      </w:r>
    </w:p>
  </w:endnote>
  <w:endnote w:type="continuationSeparator" w:id="0">
    <w:p w14:paraId="3C5D8D24" w14:textId="77777777" w:rsidR="00C0001A" w:rsidRDefault="00C0001A"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701" w:type="dxa"/>
      <w:tblLook w:val="04A0" w:firstRow="1" w:lastRow="0" w:firstColumn="1" w:lastColumn="0" w:noHBand="0" w:noVBand="1"/>
    </w:tblPr>
    <w:tblGrid>
      <w:gridCol w:w="495"/>
      <w:gridCol w:w="9276"/>
      <w:gridCol w:w="995"/>
    </w:tblGrid>
    <w:tr w:rsidR="00036CF6" w:rsidRPr="002C0E14" w14:paraId="09FD201A" w14:textId="77777777" w:rsidTr="008C59B4">
      <w:tc>
        <w:tcPr>
          <w:tcW w:w="1566" w:type="dxa"/>
          <w:shd w:val="clear" w:color="auto" w:fill="auto"/>
        </w:tcPr>
        <w:p w14:paraId="66757F39" w14:textId="77777777" w:rsidR="00036CF6" w:rsidRPr="00036CF6" w:rsidRDefault="00036CF6" w:rsidP="00036CF6">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p>
      </w:tc>
      <w:tc>
        <w:tcPr>
          <w:tcW w:w="5986" w:type="dxa"/>
          <w:tcBorders>
            <w:left w:val="nil"/>
          </w:tcBorders>
          <w:shd w:val="clear" w:color="auto" w:fill="auto"/>
        </w:tcPr>
        <w:p w14:paraId="26D955B0" w14:textId="717E90A4" w:rsidR="00036CF6" w:rsidRPr="00036CF6" w:rsidRDefault="00CD7F9B" w:rsidP="00036CF6">
          <w:pPr>
            <w:tabs>
              <w:tab w:val="center" w:pos="4320"/>
              <w:tab w:val="right" w:pos="8640"/>
            </w:tabs>
            <w:spacing w:after="0"/>
            <w:ind w:left="0"/>
            <w:rPr>
              <w:rFonts w:ascii="Arial" w:eastAsia="Times New Roman" w:hAnsi="Arial" w:cs="Arial"/>
              <w:b/>
              <w:color w:val="003366"/>
              <w:sz w:val="16"/>
              <w:szCs w:val="16"/>
              <w:lang w:val="ro-RO" w:eastAsia="ro-RO"/>
            </w:rPr>
          </w:pPr>
          <w:r w:rsidRPr="00CD7F9B">
            <w:rPr>
              <w:rFonts w:ascii="Arial" w:eastAsia="Times New Roman" w:hAnsi="Arial" w:cs="Arial"/>
              <w:b/>
              <w:noProof/>
              <w:color w:val="003366"/>
              <w:sz w:val="16"/>
              <w:szCs w:val="16"/>
              <w:lang w:val="ro-RO" w:eastAsia="ro-RO"/>
            </w:rPr>
            <w:drawing>
              <wp:inline distT="0" distB="0" distL="0" distR="0" wp14:anchorId="6C34F6DC" wp14:editId="3348234A">
                <wp:extent cx="5753100" cy="495300"/>
                <wp:effectExtent l="0" t="0" r="0" b="0"/>
                <wp:docPr id="13986419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300"/>
                        </a:xfrm>
                        <a:prstGeom prst="rect">
                          <a:avLst/>
                        </a:prstGeom>
                        <a:noFill/>
                        <a:ln>
                          <a:noFill/>
                        </a:ln>
                      </pic:spPr>
                    </pic:pic>
                  </a:graphicData>
                </a:graphic>
              </wp:inline>
            </w:drawing>
          </w:r>
        </w:p>
      </w:tc>
      <w:tc>
        <w:tcPr>
          <w:tcW w:w="2981" w:type="dxa"/>
          <w:shd w:val="clear" w:color="auto" w:fill="auto"/>
          <w:vAlign w:val="center"/>
        </w:tcPr>
        <w:p w14:paraId="7AB91A8C" w14:textId="4F9418F1" w:rsidR="00036CF6" w:rsidRPr="00B66E1D" w:rsidRDefault="00036CF6" w:rsidP="00CD7F9B">
          <w:pPr>
            <w:tabs>
              <w:tab w:val="center" w:pos="4536"/>
              <w:tab w:val="right" w:pos="9072"/>
            </w:tabs>
            <w:spacing w:after="0" w:line="240" w:lineRule="auto"/>
            <w:ind w:left="0"/>
            <w:rPr>
              <w:sz w:val="14"/>
              <w:szCs w:val="14"/>
              <w:lang w:val="es-ES"/>
            </w:rPr>
          </w:pPr>
          <w:r w:rsidRPr="00B66E1D">
            <w:rPr>
              <w:sz w:val="14"/>
              <w:szCs w:val="14"/>
              <w:lang w:val="es-ES"/>
            </w:rPr>
            <w:t>Pag</w:t>
          </w:r>
          <w:r w:rsidR="002E0C82">
            <w:rPr>
              <w:sz w:val="14"/>
              <w:szCs w:val="14"/>
              <w:lang w:val="es-ES"/>
            </w:rPr>
            <w:t>.</w:t>
          </w:r>
          <w:r w:rsidRPr="00036CF6">
            <w:rPr>
              <w:sz w:val="14"/>
              <w:szCs w:val="14"/>
            </w:rPr>
            <w:fldChar w:fldCharType="begin"/>
          </w:r>
          <w:r w:rsidRPr="00B66E1D">
            <w:rPr>
              <w:sz w:val="14"/>
              <w:szCs w:val="14"/>
              <w:lang w:val="es-ES"/>
            </w:rPr>
            <w:instrText xml:space="preserve"> PAGE </w:instrText>
          </w:r>
          <w:r w:rsidRPr="00036CF6">
            <w:rPr>
              <w:sz w:val="14"/>
              <w:szCs w:val="14"/>
            </w:rPr>
            <w:fldChar w:fldCharType="separate"/>
          </w:r>
          <w:r w:rsidR="002D19CA">
            <w:rPr>
              <w:noProof/>
              <w:sz w:val="14"/>
              <w:szCs w:val="14"/>
              <w:lang w:val="es-ES"/>
            </w:rPr>
            <w:t>2</w:t>
          </w:r>
          <w:r w:rsidRPr="00036CF6">
            <w:rPr>
              <w:sz w:val="14"/>
              <w:szCs w:val="14"/>
            </w:rPr>
            <w:fldChar w:fldCharType="end"/>
          </w:r>
          <w:r w:rsidRPr="00B66E1D">
            <w:rPr>
              <w:sz w:val="14"/>
              <w:szCs w:val="14"/>
              <w:lang w:val="es-ES"/>
            </w:rPr>
            <w:t xml:space="preserve"> din </w:t>
          </w:r>
          <w:r w:rsidRPr="00036CF6">
            <w:rPr>
              <w:sz w:val="14"/>
              <w:szCs w:val="14"/>
            </w:rPr>
            <w:fldChar w:fldCharType="begin"/>
          </w:r>
          <w:r w:rsidRPr="00B66E1D">
            <w:rPr>
              <w:sz w:val="14"/>
              <w:szCs w:val="14"/>
              <w:lang w:val="es-ES"/>
            </w:rPr>
            <w:instrText xml:space="preserve"> SECTIONPAGES   \* MERGEFORMAT </w:instrText>
          </w:r>
          <w:r w:rsidRPr="00036CF6">
            <w:rPr>
              <w:sz w:val="14"/>
              <w:szCs w:val="14"/>
            </w:rPr>
            <w:fldChar w:fldCharType="separate"/>
          </w:r>
          <w:r w:rsidR="000E1C35">
            <w:rPr>
              <w:noProof/>
              <w:sz w:val="14"/>
              <w:szCs w:val="14"/>
              <w:lang w:val="es-ES"/>
            </w:rPr>
            <w:t>11</w:t>
          </w:r>
          <w:r w:rsidRPr="00036CF6">
            <w:rPr>
              <w:sz w:val="14"/>
              <w:szCs w:val="14"/>
            </w:rPr>
            <w:fldChar w:fldCharType="end"/>
          </w:r>
        </w:p>
        <w:p w14:paraId="2A3C765B" w14:textId="77777777" w:rsidR="00036CF6" w:rsidRPr="00B66E1D" w:rsidRDefault="00036CF6" w:rsidP="00036CF6">
          <w:pPr>
            <w:tabs>
              <w:tab w:val="center" w:pos="4536"/>
              <w:tab w:val="right" w:pos="9072"/>
            </w:tabs>
            <w:spacing w:after="0" w:line="240" w:lineRule="auto"/>
            <w:ind w:left="0"/>
            <w:jc w:val="right"/>
            <w:rPr>
              <w:sz w:val="14"/>
              <w:szCs w:val="14"/>
              <w:lang w:val="es-ES"/>
            </w:rPr>
          </w:pPr>
        </w:p>
        <w:p w14:paraId="34D928C0" w14:textId="77777777" w:rsidR="00036CF6" w:rsidRPr="00036CF6" w:rsidRDefault="00036CF6" w:rsidP="00CD7F9B">
          <w:pPr>
            <w:tabs>
              <w:tab w:val="center" w:pos="4536"/>
              <w:tab w:val="right" w:pos="9072"/>
            </w:tabs>
            <w:spacing w:after="0" w:line="240" w:lineRule="auto"/>
            <w:ind w:left="0"/>
            <w:jc w:val="right"/>
            <w:rPr>
              <w:rFonts w:ascii="Arial" w:eastAsia="Times New Roman" w:hAnsi="Arial" w:cs="Arial"/>
              <w:b/>
              <w:sz w:val="16"/>
              <w:szCs w:val="16"/>
              <w:lang w:val="ro-RO" w:eastAsia="ro-RO"/>
            </w:rPr>
          </w:pPr>
        </w:p>
      </w:tc>
    </w:tr>
  </w:tbl>
  <w:p w14:paraId="4EC52A76" w14:textId="77777777" w:rsidR="00E80D5E" w:rsidRPr="007E7D11" w:rsidRDefault="00E80D5E" w:rsidP="00E80D5E">
    <w:pPr>
      <w:pStyle w:val="Footer"/>
      <w:ind w:left="0"/>
      <w:rPr>
        <w:sz w:val="2"/>
        <w:szCs w:val="2"/>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ABF2" w14:textId="7CB1E60D" w:rsidR="00CD7F9B" w:rsidRPr="00664D7A" w:rsidRDefault="00CD7F9B" w:rsidP="00363CAD">
    <w:pPr>
      <w:tabs>
        <w:tab w:val="center" w:pos="4680"/>
        <w:tab w:val="right" w:pos="9360"/>
      </w:tabs>
      <w:spacing w:after="0" w:line="240" w:lineRule="auto"/>
      <w:ind w:left="426"/>
      <w:jc w:val="center"/>
      <w:rPr>
        <w:rFonts w:eastAsia="Times New Roman"/>
        <w:b/>
      </w:rPr>
    </w:pPr>
    <w:bookmarkStart w:id="5" w:name="_Hlk152662735"/>
    <w:proofErr w:type="spellStart"/>
    <w:r w:rsidRPr="00664D7A">
      <w:rPr>
        <w:rFonts w:eastAsia="Times New Roman"/>
        <w:b/>
      </w:rPr>
      <w:t>Secretariatul</w:t>
    </w:r>
    <w:proofErr w:type="spellEnd"/>
    <w:r w:rsidRPr="00664D7A">
      <w:rPr>
        <w:rFonts w:eastAsia="Times New Roman"/>
        <w:b/>
      </w:rPr>
      <w:t xml:space="preserve"> </w:t>
    </w:r>
    <w:proofErr w:type="spellStart"/>
    <w:r w:rsidRPr="00664D7A">
      <w:rPr>
        <w:rFonts w:eastAsia="Times New Roman"/>
        <w:b/>
      </w:rPr>
      <w:t>tehnic</w:t>
    </w:r>
    <w:proofErr w:type="spellEnd"/>
    <w:r w:rsidRPr="00664D7A">
      <w:rPr>
        <w:rFonts w:eastAsia="Times New Roman"/>
        <w:b/>
      </w:rPr>
      <w:t xml:space="preserve"> al SNA     </w:t>
    </w:r>
  </w:p>
  <w:p w14:paraId="71B91796" w14:textId="77777777"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r w:rsidRPr="00664D7A">
      <w:rPr>
        <w:rFonts w:eastAsia="Times New Roman" w:cs="Arial"/>
        <w:b/>
        <w:color w:val="003366"/>
        <w:sz w:val="16"/>
        <w:szCs w:val="16"/>
        <w:lang w:eastAsia="ro-RO"/>
      </w:rPr>
      <w:t xml:space="preserve">Str. </w:t>
    </w:r>
    <w:proofErr w:type="spellStart"/>
    <w:r w:rsidRPr="00664D7A">
      <w:rPr>
        <w:rFonts w:eastAsia="Times New Roman" w:cs="Arial"/>
        <w:b/>
        <w:color w:val="003366"/>
        <w:sz w:val="16"/>
        <w:szCs w:val="16"/>
        <w:lang w:eastAsia="ro-RO"/>
      </w:rPr>
      <w:t>Apolodor</w:t>
    </w:r>
    <w:proofErr w:type="spellEnd"/>
    <w:r w:rsidRPr="00664D7A">
      <w:rPr>
        <w:rFonts w:eastAsia="Times New Roman" w:cs="Arial"/>
        <w:b/>
        <w:color w:val="003366"/>
        <w:sz w:val="16"/>
        <w:szCs w:val="16"/>
        <w:lang w:eastAsia="ro-RO"/>
      </w:rPr>
      <w:t xml:space="preserve"> nr. 17, sector 5, 050741</w:t>
    </w:r>
  </w:p>
  <w:p w14:paraId="64CAC9EE" w14:textId="4A075B6D"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proofErr w:type="spellStart"/>
    <w:r w:rsidRPr="00664D7A">
      <w:rPr>
        <w:rFonts w:eastAsia="Times New Roman" w:cs="Arial"/>
        <w:b/>
        <w:color w:val="003366"/>
        <w:sz w:val="16"/>
        <w:szCs w:val="16"/>
        <w:lang w:eastAsia="ro-RO"/>
      </w:rPr>
      <w:t>București</w:t>
    </w:r>
    <w:proofErr w:type="spellEnd"/>
    <w:r w:rsidRPr="00664D7A">
      <w:rPr>
        <w:rFonts w:eastAsia="Times New Roman" w:cs="Arial"/>
        <w:b/>
        <w:color w:val="003366"/>
        <w:sz w:val="16"/>
        <w:szCs w:val="16"/>
        <w:lang w:eastAsia="ro-RO"/>
      </w:rPr>
      <w:t xml:space="preserve">, </w:t>
    </w:r>
    <w:proofErr w:type="spellStart"/>
    <w:r w:rsidRPr="00664D7A">
      <w:rPr>
        <w:rFonts w:eastAsia="Times New Roman" w:cs="Arial"/>
        <w:b/>
        <w:color w:val="003366"/>
        <w:sz w:val="16"/>
        <w:szCs w:val="16"/>
        <w:lang w:eastAsia="ro-RO"/>
      </w:rPr>
      <w:t>România</w:t>
    </w:r>
    <w:proofErr w:type="spellEnd"/>
    <w:r w:rsidR="0001515D">
      <w:rPr>
        <w:rFonts w:eastAsia="Times New Roman" w:cs="Arial"/>
        <w:b/>
        <w:color w:val="003366"/>
        <w:sz w:val="16"/>
        <w:szCs w:val="16"/>
        <w:lang w:eastAsia="ro-RO"/>
      </w:rPr>
      <w:t xml:space="preserve">                                             </w:t>
    </w:r>
  </w:p>
  <w:p w14:paraId="52B193CA" w14:textId="77777777" w:rsidR="00CD7F9B" w:rsidRPr="00664D7A" w:rsidRDefault="00C0001A" w:rsidP="00363CAD">
    <w:pPr>
      <w:tabs>
        <w:tab w:val="center" w:pos="4153"/>
        <w:tab w:val="right" w:pos="8306"/>
      </w:tabs>
      <w:spacing w:after="0" w:line="240" w:lineRule="auto"/>
      <w:ind w:left="426"/>
      <w:jc w:val="center"/>
      <w:rPr>
        <w:rFonts w:eastAsia="Times New Roman" w:cs="Arial"/>
        <w:sz w:val="16"/>
        <w:szCs w:val="16"/>
        <w:lang w:eastAsia="ro-RO"/>
      </w:rPr>
    </w:pPr>
    <w:hyperlink r:id="rId1" w:history="1">
      <w:r w:rsidR="00CD7F9B" w:rsidRPr="00664D7A">
        <w:rPr>
          <w:rFonts w:eastAsia="Times New Roman" w:cs="Arial"/>
          <w:b/>
          <w:color w:val="003366"/>
          <w:sz w:val="16"/>
          <w:szCs w:val="16"/>
          <w:lang w:eastAsia="ro-RO"/>
        </w:rPr>
        <w:t>www.just.ro</w:t>
      </w:r>
    </w:hyperlink>
  </w:p>
  <w:bookmarkEnd w:id="5"/>
  <w:p w14:paraId="2044C852" w14:textId="690EED49" w:rsidR="00CD7F9B" w:rsidRDefault="00CD7F9B" w:rsidP="00363CAD">
    <w:pPr>
      <w:pStyle w:val="Footer"/>
    </w:pPr>
  </w:p>
  <w:p w14:paraId="02DC9A69" w14:textId="77777777" w:rsidR="00E80D5E" w:rsidRPr="007E7D11" w:rsidRDefault="00E80D5E" w:rsidP="00036CF6">
    <w:pPr>
      <w:pStyle w:val="Footer"/>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1009F" w14:textId="77777777" w:rsidR="00C0001A" w:rsidRDefault="00C0001A" w:rsidP="00871565">
      <w:pPr>
        <w:spacing w:after="0"/>
        <w:ind w:left="0"/>
      </w:pPr>
      <w:r>
        <w:separator/>
      </w:r>
    </w:p>
  </w:footnote>
  <w:footnote w:type="continuationSeparator" w:id="0">
    <w:p w14:paraId="243CAEE4" w14:textId="77777777" w:rsidR="00C0001A" w:rsidRDefault="00C0001A" w:rsidP="00871565">
      <w:pPr>
        <w:ind w:left="0"/>
      </w:pPr>
      <w:r>
        <w:continuationSeparator/>
      </w:r>
    </w:p>
  </w:footnote>
  <w:footnote w:type="continuationNotice" w:id="1">
    <w:p w14:paraId="0239457F" w14:textId="77777777" w:rsidR="00C0001A" w:rsidRDefault="00C0001A" w:rsidP="00871565">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33C42" w14:textId="77777777" w:rsidR="0094530E" w:rsidRDefault="0094530E" w:rsidP="008A4458">
    <w:pPr>
      <w:pStyle w:val="Header"/>
      <w:ind w:left="0"/>
    </w:pPr>
  </w:p>
  <w:p w14:paraId="024F8CE0" w14:textId="7590E864" w:rsidR="00FC7E0D" w:rsidRPr="00CD5B3B" w:rsidRDefault="00FC7E0D" w:rsidP="008A4458">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ril1"/>
      <w:tblW w:w="11341" w:type="dxa"/>
      <w:tblInd w:w="-1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4"/>
      <w:gridCol w:w="4837"/>
    </w:tblGrid>
    <w:tr w:rsidR="00C04D68" w:rsidRPr="00C04D68" w14:paraId="7D7C5D26" w14:textId="77777777" w:rsidTr="00093933">
      <w:tc>
        <w:tcPr>
          <w:tcW w:w="6504" w:type="dxa"/>
        </w:tcPr>
        <w:p w14:paraId="3AB2A546" w14:textId="77777777" w:rsidR="00C04D68" w:rsidRPr="00C04D68" w:rsidRDefault="00C04D68" w:rsidP="00C04D68">
          <w:pPr>
            <w:spacing w:before="120"/>
            <w:ind w:left="0"/>
            <w:rPr>
              <w:lang w:val="ro-RO"/>
            </w:rPr>
          </w:pPr>
          <w:r w:rsidRPr="00C04D68">
            <w:rPr>
              <w:noProof/>
              <w:lang w:val="ro-RO" w:eastAsia="ro-RO"/>
            </w:rPr>
            <w:drawing>
              <wp:inline distT="0" distB="0" distL="0" distR="0" wp14:anchorId="4D7AA268" wp14:editId="74B54619">
                <wp:extent cx="2816860" cy="902335"/>
                <wp:effectExtent l="0" t="0" r="2540" b="0"/>
                <wp:docPr id="2096779295" name="Picture 2096779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902335"/>
                        </a:xfrm>
                        <a:prstGeom prst="rect">
                          <a:avLst/>
                        </a:prstGeom>
                        <a:noFill/>
                      </pic:spPr>
                    </pic:pic>
                  </a:graphicData>
                </a:graphic>
              </wp:inline>
            </w:drawing>
          </w:r>
        </w:p>
      </w:tc>
      <w:tc>
        <w:tcPr>
          <w:tcW w:w="4837" w:type="dxa"/>
        </w:tcPr>
        <w:p w14:paraId="727B4113" w14:textId="77777777" w:rsidR="00C04D68" w:rsidRPr="00C04D68" w:rsidRDefault="00C04D68" w:rsidP="0061068C">
          <w:pPr>
            <w:spacing w:before="120"/>
            <w:ind w:left="0" w:right="313"/>
            <w:jc w:val="right"/>
            <w:rPr>
              <w:lang w:val="ro-RO"/>
            </w:rPr>
          </w:pPr>
          <w:r w:rsidRPr="00C04D68">
            <w:rPr>
              <w:rFonts w:ascii="Calibri" w:eastAsia="Times New Roman" w:hAnsi="Calibri"/>
              <w:noProof/>
              <w:lang w:val="ro-RO" w:eastAsia="ro-RO"/>
            </w:rPr>
            <w:drawing>
              <wp:anchor distT="0" distB="0" distL="114300" distR="114300" simplePos="0" relativeHeight="251659264" behindDoc="0" locked="0" layoutInCell="1" allowOverlap="1" wp14:anchorId="694F1082" wp14:editId="19394CEE">
                <wp:simplePos x="0" y="0"/>
                <wp:positionH relativeFrom="column">
                  <wp:posOffset>6106795</wp:posOffset>
                </wp:positionH>
                <wp:positionV relativeFrom="paragraph">
                  <wp:posOffset>424815</wp:posOffset>
                </wp:positionV>
                <wp:extent cx="1277620" cy="902970"/>
                <wp:effectExtent l="0" t="0" r="0" b="0"/>
                <wp:wrapNone/>
                <wp:docPr id="1971753002" name="Picture 1971753002" descr="C:\Users\leonard.anghel\Desktop\logo_centenar_ROMANI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ard.anghel\Desktop\logo_centenar_ROMANIA_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7620" cy="9029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70E86B3" w14:textId="77777777" w:rsidR="00E80D5E" w:rsidRPr="007E7D11" w:rsidRDefault="00351230" w:rsidP="00351230">
    <w:pPr>
      <w:pStyle w:val="Header"/>
      <w:tabs>
        <w:tab w:val="clear" w:pos="8640"/>
      </w:tabs>
      <w:spacing w:after="0"/>
      <w:ind w:left="-1701" w:right="-291"/>
      <w:rPr>
        <w:sz w:val="2"/>
        <w:szCs w:val="2"/>
      </w:rPr>
    </w:pPr>
    <w:r>
      <w:rPr>
        <w:noProof/>
        <w:lang w:val="ro-RO" w:eastAsia="ro-RO"/>
      </w:rPr>
      <w:t xml:space="preserve">                   </w:t>
    </w:r>
    <w:r>
      <w:rPr>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255F"/>
    <w:multiLevelType w:val="hybridMultilevel"/>
    <w:tmpl w:val="B76C23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50851"/>
    <w:multiLevelType w:val="multilevel"/>
    <w:tmpl w:val="474829E0"/>
    <w:lvl w:ilvl="0">
      <w:start w:val="1"/>
      <w:numFmt w:val="upperLetter"/>
      <w:lvlText w:val="%1."/>
      <w:lvlJc w:val="left"/>
      <w:pPr>
        <w:tabs>
          <w:tab w:val="num" w:pos="720"/>
        </w:tabs>
        <w:ind w:left="720" w:hanging="360"/>
      </w:pPr>
      <w:rPr>
        <w:b w:val="0"/>
        <w:bCs/>
        <w:i w:val="0"/>
        <w:color w:val="auto"/>
      </w:rPr>
    </w:lvl>
    <w:lvl w:ilvl="1">
      <w:start w:val="1"/>
      <w:numFmt w:val="decimal"/>
      <w:isLgl/>
      <w:lvlText w:val="%1.%2"/>
      <w:lvlJc w:val="left"/>
      <w:pPr>
        <w:tabs>
          <w:tab w:val="num" w:pos="1800"/>
        </w:tabs>
        <w:ind w:left="1800" w:hanging="360"/>
      </w:pPr>
      <w:rPr>
        <w:b w:val="0"/>
        <w:i w:val="0"/>
        <w:color w:val="auto"/>
      </w:rPr>
    </w:lvl>
    <w:lvl w:ilvl="2">
      <w:start w:val="1"/>
      <w:numFmt w:val="decimal"/>
      <w:isLgl/>
      <w:lvlText w:val="%1.%2.%3"/>
      <w:lvlJc w:val="left"/>
      <w:pPr>
        <w:tabs>
          <w:tab w:val="num" w:pos="3240"/>
        </w:tabs>
        <w:ind w:left="3240" w:hanging="720"/>
      </w:pPr>
    </w:lvl>
    <w:lvl w:ilvl="3">
      <w:start w:val="1"/>
      <w:numFmt w:val="decimal"/>
      <w:isLgl/>
      <w:lvlText w:val="%1.%2.%3.%4"/>
      <w:lvlJc w:val="left"/>
      <w:pPr>
        <w:tabs>
          <w:tab w:val="num" w:pos="4320"/>
        </w:tabs>
        <w:ind w:left="4320" w:hanging="720"/>
      </w:pPr>
    </w:lvl>
    <w:lvl w:ilvl="4">
      <w:start w:val="1"/>
      <w:numFmt w:val="decimal"/>
      <w:isLgl/>
      <w:lvlText w:val="%1.%2.%3.%4.%5"/>
      <w:lvlJc w:val="left"/>
      <w:pPr>
        <w:tabs>
          <w:tab w:val="num" w:pos="5760"/>
        </w:tabs>
        <w:ind w:left="5760" w:hanging="1080"/>
      </w:pPr>
    </w:lvl>
    <w:lvl w:ilvl="5">
      <w:start w:val="1"/>
      <w:numFmt w:val="decimal"/>
      <w:isLgl/>
      <w:lvlText w:val="%1.%2.%3.%4.%5.%6"/>
      <w:lvlJc w:val="left"/>
      <w:pPr>
        <w:tabs>
          <w:tab w:val="num" w:pos="6840"/>
        </w:tabs>
        <w:ind w:left="6840" w:hanging="1080"/>
      </w:pPr>
    </w:lvl>
    <w:lvl w:ilvl="6">
      <w:start w:val="1"/>
      <w:numFmt w:val="decimal"/>
      <w:isLgl/>
      <w:lvlText w:val="%1.%2.%3.%4.%5.%6.%7"/>
      <w:lvlJc w:val="left"/>
      <w:pPr>
        <w:tabs>
          <w:tab w:val="num" w:pos="8280"/>
        </w:tabs>
        <w:ind w:left="8280" w:hanging="1440"/>
      </w:pPr>
    </w:lvl>
    <w:lvl w:ilvl="7">
      <w:start w:val="1"/>
      <w:numFmt w:val="decimal"/>
      <w:isLgl/>
      <w:lvlText w:val="%1.%2.%3.%4.%5.%6.%7.%8"/>
      <w:lvlJc w:val="left"/>
      <w:pPr>
        <w:tabs>
          <w:tab w:val="num" w:pos="9360"/>
        </w:tabs>
        <w:ind w:left="9360" w:hanging="1440"/>
      </w:pPr>
    </w:lvl>
    <w:lvl w:ilvl="8">
      <w:start w:val="1"/>
      <w:numFmt w:val="decimal"/>
      <w:isLgl/>
      <w:lvlText w:val="%1.%2.%3.%4.%5.%6.%7.%8.%9"/>
      <w:lvlJc w:val="left"/>
      <w:pPr>
        <w:tabs>
          <w:tab w:val="num" w:pos="10800"/>
        </w:tabs>
        <w:ind w:left="10800" w:hanging="1800"/>
      </w:pPr>
    </w:lvl>
  </w:abstractNum>
  <w:abstractNum w:abstractNumId="2" w15:restartNumberingAfterBreak="0">
    <w:nsid w:val="04A30852"/>
    <w:multiLevelType w:val="hybridMultilevel"/>
    <w:tmpl w:val="9F8AF2F2"/>
    <w:lvl w:ilvl="0" w:tplc="AB8EE442">
      <w:start w:val="1"/>
      <w:numFmt w:val="upperRoman"/>
      <w:lvlText w:val="%1."/>
      <w:lvlJc w:val="left"/>
      <w:pPr>
        <w:ind w:left="1440" w:hanging="720"/>
      </w:pPr>
      <w:rPr>
        <w:rFonts w:hint="default"/>
      </w:rPr>
    </w:lvl>
    <w:lvl w:ilvl="1" w:tplc="E65C0534">
      <w:start w:val="1"/>
      <w:numFmt w:val="lowerLetter"/>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7166AA"/>
    <w:multiLevelType w:val="hybridMultilevel"/>
    <w:tmpl w:val="B1243DB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405A5E"/>
    <w:multiLevelType w:val="hybridMultilevel"/>
    <w:tmpl w:val="356CD732"/>
    <w:lvl w:ilvl="0" w:tplc="0409000F">
      <w:start w:val="1"/>
      <w:numFmt w:val="decimal"/>
      <w:lvlText w:val="%1."/>
      <w:lvlJc w:val="left"/>
      <w:pPr>
        <w:ind w:left="153" w:hanging="360"/>
      </w:pPr>
    </w:lvl>
    <w:lvl w:ilvl="1" w:tplc="04090019">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5" w15:restartNumberingAfterBreak="0">
    <w:nsid w:val="12D10281"/>
    <w:multiLevelType w:val="hybridMultilevel"/>
    <w:tmpl w:val="71D2F6A0"/>
    <w:lvl w:ilvl="0" w:tplc="04090015">
      <w:start w:val="1"/>
      <w:numFmt w:val="upperLetter"/>
      <w:lvlText w:val="%1."/>
      <w:lvlJc w:val="left"/>
      <w:pPr>
        <w:tabs>
          <w:tab w:val="num" w:pos="720"/>
        </w:tabs>
        <w:ind w:left="720" w:hanging="360"/>
      </w:pPr>
    </w:lvl>
    <w:lvl w:ilvl="1" w:tplc="B1AA4854">
      <w:start w:val="1"/>
      <w:numFmt w:val="lowerLetter"/>
      <w:lvlText w:val="%2."/>
      <w:lvlJc w:val="left"/>
      <w:pPr>
        <w:tabs>
          <w:tab w:val="num" w:pos="1440"/>
        </w:tabs>
        <w:ind w:left="1440" w:hanging="360"/>
      </w:pPr>
    </w:lvl>
    <w:lvl w:ilvl="2" w:tplc="4B383BE0">
      <w:start w:val="10"/>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93128ED"/>
    <w:multiLevelType w:val="hybridMultilevel"/>
    <w:tmpl w:val="75DA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F1477F"/>
    <w:multiLevelType w:val="hybridMultilevel"/>
    <w:tmpl w:val="40F43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B12A5D"/>
    <w:multiLevelType w:val="multilevel"/>
    <w:tmpl w:val="B5A4CEC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0104282"/>
    <w:multiLevelType w:val="hybridMultilevel"/>
    <w:tmpl w:val="4F864EFC"/>
    <w:lvl w:ilvl="0" w:tplc="2F5EA98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F48FF"/>
    <w:multiLevelType w:val="hybridMultilevel"/>
    <w:tmpl w:val="B2B0C212"/>
    <w:lvl w:ilvl="0" w:tplc="78D06860">
      <w:start w:val="1"/>
      <w:numFmt w:val="decimal"/>
      <w:lvlText w:val="%1."/>
      <w:lvlJc w:val="left"/>
      <w:pPr>
        <w:ind w:left="3" w:hanging="57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1" w15:restartNumberingAfterBreak="0">
    <w:nsid w:val="211423EB"/>
    <w:multiLevelType w:val="hybridMultilevel"/>
    <w:tmpl w:val="30F80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D65C5"/>
    <w:multiLevelType w:val="hybridMultilevel"/>
    <w:tmpl w:val="F30CD35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F60643"/>
    <w:multiLevelType w:val="hybridMultilevel"/>
    <w:tmpl w:val="B62E7E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8452E"/>
    <w:multiLevelType w:val="hybridMultilevel"/>
    <w:tmpl w:val="75F8453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9F7D3E"/>
    <w:multiLevelType w:val="hybridMultilevel"/>
    <w:tmpl w:val="F41A20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1A0A32"/>
    <w:multiLevelType w:val="hybridMultilevel"/>
    <w:tmpl w:val="DC625BDC"/>
    <w:lvl w:ilvl="0" w:tplc="EA68253E">
      <w:start w:val="1"/>
      <w:numFmt w:val="upperLetter"/>
      <w:lvlText w:val="%1."/>
      <w:lvlJc w:val="left"/>
      <w:pPr>
        <w:ind w:left="1080" w:hanging="360"/>
      </w:pPr>
      <w:rPr>
        <w:rFonts w:hint="default"/>
      </w:rPr>
    </w:lvl>
    <w:lvl w:ilvl="1" w:tplc="E0C0A7F8">
      <w:start w:val="1"/>
      <w:numFmt w:val="decimal"/>
      <w:lvlText w:val="%2."/>
      <w:lvlJc w:val="left"/>
      <w:pPr>
        <w:ind w:left="1800" w:hanging="360"/>
      </w:pPr>
      <w:rPr>
        <w:rFonts w:hint="default"/>
      </w:rPr>
    </w:lvl>
    <w:lvl w:ilvl="2" w:tplc="8AE0483E">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624C81"/>
    <w:multiLevelType w:val="hybridMultilevel"/>
    <w:tmpl w:val="12325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C5994"/>
    <w:multiLevelType w:val="hybridMultilevel"/>
    <w:tmpl w:val="8BEC5FD0"/>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0B06C0"/>
    <w:multiLevelType w:val="hybridMultilevel"/>
    <w:tmpl w:val="12325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4518CE"/>
    <w:multiLevelType w:val="hybridMultilevel"/>
    <w:tmpl w:val="B7A83B4C"/>
    <w:lvl w:ilvl="0" w:tplc="F4888DB0">
      <w:start w:val="1"/>
      <w:numFmt w:val="bullet"/>
      <w:lvlText w:val=""/>
      <w:lvlJc w:val="left"/>
      <w:pPr>
        <w:ind w:left="720" w:hanging="360"/>
      </w:pPr>
      <w:rPr>
        <w:rFonts w:ascii="Symbol" w:hAnsi="Symbol" w:hint="default"/>
        <w:b w:val="0"/>
        <w:i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3B111CA"/>
    <w:multiLevelType w:val="hybridMultilevel"/>
    <w:tmpl w:val="403CAAC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ED67F3"/>
    <w:multiLevelType w:val="hybridMultilevel"/>
    <w:tmpl w:val="3B3608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260FFC"/>
    <w:multiLevelType w:val="hybridMultilevel"/>
    <w:tmpl w:val="C4C0B47A"/>
    <w:lvl w:ilvl="0" w:tplc="1ED2E3F4">
      <w:start w:val="1"/>
      <w:numFmt w:val="decimal"/>
      <w:lvlText w:val="%1."/>
      <w:lvlJc w:val="left"/>
      <w:pPr>
        <w:ind w:left="720" w:hanging="360"/>
      </w:pPr>
      <w:rPr>
        <w:rFonts w:ascii="Arial Narrow" w:hAnsi="Arial Narrow" w:cs="Arial" w:hint="default"/>
        <w:b/>
        <w:sz w:val="24"/>
      </w:rPr>
    </w:lvl>
    <w:lvl w:ilvl="1" w:tplc="26C24300">
      <w:start w:val="1"/>
      <w:numFmt w:val="lowerLetter"/>
      <w:lvlText w:val="%2)"/>
      <w:lvlJc w:val="left"/>
      <w:pPr>
        <w:ind w:left="1440" w:hanging="360"/>
      </w:pPr>
      <w:rPr>
        <w:rFonts w:hint="default"/>
        <w:b/>
        <w:bCs/>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9406122"/>
    <w:multiLevelType w:val="hybridMultilevel"/>
    <w:tmpl w:val="35E63C8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9CC64AD"/>
    <w:multiLevelType w:val="hybridMultilevel"/>
    <w:tmpl w:val="637E3DE4"/>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1E6DD0"/>
    <w:multiLevelType w:val="hybridMultilevel"/>
    <w:tmpl w:val="15A6D122"/>
    <w:lvl w:ilvl="0" w:tplc="04090005">
      <w:start w:val="1"/>
      <w:numFmt w:val="bullet"/>
      <w:lvlText w:val=""/>
      <w:lvlJc w:val="left"/>
      <w:pPr>
        <w:ind w:left="720" w:hanging="360"/>
      </w:pPr>
      <w:rPr>
        <w:rFonts w:ascii="Wingdings" w:hAnsi="Wingdings" w:hint="default"/>
      </w:rPr>
    </w:lvl>
    <w:lvl w:ilvl="1" w:tplc="8C0AC926">
      <w:numFmt w:val="bullet"/>
      <w:lvlText w:val="-"/>
      <w:lvlJc w:val="left"/>
      <w:pPr>
        <w:ind w:left="1440" w:hanging="360"/>
      </w:pPr>
      <w:rPr>
        <w:rFonts w:ascii="Trebuchet MS" w:eastAsia="Calibri"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B10EC6"/>
    <w:multiLevelType w:val="hybridMultilevel"/>
    <w:tmpl w:val="4B80F71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7785806"/>
    <w:multiLevelType w:val="hybridMultilevel"/>
    <w:tmpl w:val="B1709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4B54EE"/>
    <w:multiLevelType w:val="hybridMultilevel"/>
    <w:tmpl w:val="17E61AC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CF151BD"/>
    <w:multiLevelType w:val="hybridMultilevel"/>
    <w:tmpl w:val="04BACEB0"/>
    <w:lvl w:ilvl="0" w:tplc="49D61278">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31" w15:restartNumberingAfterBreak="0">
    <w:nsid w:val="5FE22C2C"/>
    <w:multiLevelType w:val="hybridMultilevel"/>
    <w:tmpl w:val="8BEC5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00443"/>
    <w:multiLevelType w:val="hybridMultilevel"/>
    <w:tmpl w:val="B7C0E17A"/>
    <w:lvl w:ilvl="0" w:tplc="04090017">
      <w:start w:val="1"/>
      <w:numFmt w:val="lowerLetter"/>
      <w:lvlText w:val="%1)"/>
      <w:lvlJc w:val="left"/>
      <w:pPr>
        <w:ind w:left="720" w:hanging="360"/>
      </w:pPr>
      <w:rPr>
        <w:rFonts w:hint="default"/>
      </w:rPr>
    </w:lvl>
    <w:lvl w:ilvl="1" w:tplc="A5A8CE06">
      <w:start w:val="1"/>
      <w:numFmt w:val="decimal"/>
      <w:lvlText w:val="%2."/>
      <w:lvlJc w:val="left"/>
      <w:pPr>
        <w:ind w:left="1710" w:hanging="630"/>
      </w:pPr>
      <w:rPr>
        <w:rFonts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ABE48BD"/>
    <w:multiLevelType w:val="hybridMultilevel"/>
    <w:tmpl w:val="7012D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FD191B"/>
    <w:multiLevelType w:val="hybridMultilevel"/>
    <w:tmpl w:val="18828F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361244"/>
    <w:multiLevelType w:val="hybridMultilevel"/>
    <w:tmpl w:val="E500E9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43033B"/>
    <w:multiLevelType w:val="hybridMultilevel"/>
    <w:tmpl w:val="161A65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BC303F"/>
    <w:multiLevelType w:val="hybridMultilevel"/>
    <w:tmpl w:val="E604EC1C"/>
    <w:lvl w:ilvl="0" w:tplc="04090005">
      <w:start w:val="1"/>
      <w:numFmt w:val="bullet"/>
      <w:lvlText w:val=""/>
      <w:lvlJc w:val="left"/>
      <w:pPr>
        <w:ind w:left="1440" w:hanging="360"/>
      </w:pPr>
      <w:rPr>
        <w:rFonts w:ascii="Wingdings" w:hAnsi="Wingdings" w:hint="default"/>
      </w:rPr>
    </w:lvl>
    <w:lvl w:ilvl="1" w:tplc="6832CEB0">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245E42"/>
    <w:multiLevelType w:val="hybridMultilevel"/>
    <w:tmpl w:val="614AAE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603FF5"/>
    <w:multiLevelType w:val="hybridMultilevel"/>
    <w:tmpl w:val="C7B2AE1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C3849CE"/>
    <w:multiLevelType w:val="hybridMultilevel"/>
    <w:tmpl w:val="4D32EE6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FAE092E"/>
    <w:multiLevelType w:val="hybridMultilevel"/>
    <w:tmpl w:val="B6F68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37"/>
  </w:num>
  <w:num w:numId="4">
    <w:abstractNumId w:val="7"/>
  </w:num>
  <w:num w:numId="5">
    <w:abstractNumId w:val="38"/>
  </w:num>
  <w:num w:numId="6">
    <w:abstractNumId w:val="16"/>
  </w:num>
  <w:num w:numId="7">
    <w:abstractNumId w:val="26"/>
  </w:num>
  <w:num w:numId="8">
    <w:abstractNumId w:val="11"/>
  </w:num>
  <w:num w:numId="9">
    <w:abstractNumId w:val="18"/>
  </w:num>
  <w:num w:numId="10">
    <w:abstractNumId w:val="31"/>
  </w:num>
  <w:num w:numId="11">
    <w:abstractNumId w:val="22"/>
  </w:num>
  <w:num w:numId="12">
    <w:abstractNumId w:val="3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8"/>
  </w:num>
  <w:num w:numId="16">
    <w:abstractNumId w:val="0"/>
  </w:num>
  <w:num w:numId="17">
    <w:abstractNumId w:val="39"/>
  </w:num>
  <w:num w:numId="18">
    <w:abstractNumId w:val="3"/>
  </w:num>
  <w:num w:numId="19">
    <w:abstractNumId w:val="21"/>
  </w:num>
  <w:num w:numId="20">
    <w:abstractNumId w:val="24"/>
  </w:num>
  <w:num w:numId="21">
    <w:abstractNumId w:val="12"/>
  </w:num>
  <w:num w:numId="22">
    <w:abstractNumId w:val="9"/>
  </w:num>
  <w:num w:numId="23">
    <w:abstractNumId w:val="41"/>
  </w:num>
  <w:num w:numId="24">
    <w:abstractNumId w:val="30"/>
  </w:num>
  <w:num w:numId="25">
    <w:abstractNumId w:val="5"/>
  </w:num>
  <w:num w:numId="26">
    <w:abstractNumId w:val="2"/>
  </w:num>
  <w:num w:numId="27">
    <w:abstractNumId w:val="35"/>
  </w:num>
  <w:num w:numId="28">
    <w:abstractNumId w:val="36"/>
  </w:num>
  <w:num w:numId="29">
    <w:abstractNumId w:val="13"/>
  </w:num>
  <w:num w:numId="30">
    <w:abstractNumId w:val="15"/>
  </w:num>
  <w:num w:numId="31">
    <w:abstractNumId w:val="14"/>
  </w:num>
  <w:num w:numId="32">
    <w:abstractNumId w:val="25"/>
  </w:num>
  <w:num w:numId="33">
    <w:abstractNumId w:val="6"/>
  </w:num>
  <w:num w:numId="34">
    <w:abstractNumId w:val="34"/>
  </w:num>
  <w:num w:numId="35">
    <w:abstractNumId w:val="17"/>
  </w:num>
  <w:num w:numId="36">
    <w:abstractNumId w:val="19"/>
  </w:num>
  <w:num w:numId="37">
    <w:abstractNumId w:val="32"/>
  </w:num>
  <w:num w:numId="38">
    <w:abstractNumId w:val="23"/>
  </w:num>
  <w:num w:numId="39">
    <w:abstractNumId w:val="27"/>
  </w:num>
  <w:num w:numId="40">
    <w:abstractNumId w:val="40"/>
  </w:num>
  <w:num w:numId="41">
    <w:abstractNumId w:val="4"/>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EA9"/>
    <w:rsid w:val="00001DEC"/>
    <w:rsid w:val="000024D7"/>
    <w:rsid w:val="00003781"/>
    <w:rsid w:val="00005D07"/>
    <w:rsid w:val="00010C62"/>
    <w:rsid w:val="00010EF2"/>
    <w:rsid w:val="00011E45"/>
    <w:rsid w:val="0001515D"/>
    <w:rsid w:val="0002256C"/>
    <w:rsid w:val="00023330"/>
    <w:rsid w:val="00026B77"/>
    <w:rsid w:val="0003025D"/>
    <w:rsid w:val="00036CF6"/>
    <w:rsid w:val="00054D40"/>
    <w:rsid w:val="00056BE2"/>
    <w:rsid w:val="00057A9D"/>
    <w:rsid w:val="00072D9B"/>
    <w:rsid w:val="00093A08"/>
    <w:rsid w:val="00095939"/>
    <w:rsid w:val="000A2B3A"/>
    <w:rsid w:val="000A5AF6"/>
    <w:rsid w:val="000A67C7"/>
    <w:rsid w:val="000D0C86"/>
    <w:rsid w:val="000E07D8"/>
    <w:rsid w:val="000E12C3"/>
    <w:rsid w:val="000E1C35"/>
    <w:rsid w:val="000F19F9"/>
    <w:rsid w:val="000F52D3"/>
    <w:rsid w:val="000F5564"/>
    <w:rsid w:val="00100F36"/>
    <w:rsid w:val="001042D0"/>
    <w:rsid w:val="00113A4C"/>
    <w:rsid w:val="00124D4F"/>
    <w:rsid w:val="00150E37"/>
    <w:rsid w:val="00161E68"/>
    <w:rsid w:val="0016790D"/>
    <w:rsid w:val="00170786"/>
    <w:rsid w:val="001766CF"/>
    <w:rsid w:val="00180B28"/>
    <w:rsid w:val="0018375D"/>
    <w:rsid w:val="00184615"/>
    <w:rsid w:val="001A0DAC"/>
    <w:rsid w:val="001B5E0B"/>
    <w:rsid w:val="001D2C72"/>
    <w:rsid w:val="001D48E7"/>
    <w:rsid w:val="001F3E11"/>
    <w:rsid w:val="002062E1"/>
    <w:rsid w:val="00212A34"/>
    <w:rsid w:val="00221004"/>
    <w:rsid w:val="002317A7"/>
    <w:rsid w:val="002336CD"/>
    <w:rsid w:val="002403DB"/>
    <w:rsid w:val="00251423"/>
    <w:rsid w:val="002606B0"/>
    <w:rsid w:val="0026444E"/>
    <w:rsid w:val="002662A0"/>
    <w:rsid w:val="00267D09"/>
    <w:rsid w:val="00271C56"/>
    <w:rsid w:val="00284333"/>
    <w:rsid w:val="00296627"/>
    <w:rsid w:val="002A5742"/>
    <w:rsid w:val="002B2D08"/>
    <w:rsid w:val="002B67ED"/>
    <w:rsid w:val="002C0E14"/>
    <w:rsid w:val="002C1141"/>
    <w:rsid w:val="002D19CA"/>
    <w:rsid w:val="002D361E"/>
    <w:rsid w:val="002E0C82"/>
    <w:rsid w:val="002E1753"/>
    <w:rsid w:val="002F68EC"/>
    <w:rsid w:val="0030015D"/>
    <w:rsid w:val="003127E0"/>
    <w:rsid w:val="0031771B"/>
    <w:rsid w:val="0032422C"/>
    <w:rsid w:val="003262C3"/>
    <w:rsid w:val="00326C3B"/>
    <w:rsid w:val="00351230"/>
    <w:rsid w:val="003521FC"/>
    <w:rsid w:val="00355CCE"/>
    <w:rsid w:val="00357AB2"/>
    <w:rsid w:val="0036088C"/>
    <w:rsid w:val="00363CAD"/>
    <w:rsid w:val="003677C6"/>
    <w:rsid w:val="003772FD"/>
    <w:rsid w:val="00377F07"/>
    <w:rsid w:val="003910DC"/>
    <w:rsid w:val="003C32CE"/>
    <w:rsid w:val="003E5349"/>
    <w:rsid w:val="003E750E"/>
    <w:rsid w:val="00412690"/>
    <w:rsid w:val="00412CDC"/>
    <w:rsid w:val="004170E2"/>
    <w:rsid w:val="0042171A"/>
    <w:rsid w:val="0044081B"/>
    <w:rsid w:val="00451D1A"/>
    <w:rsid w:val="00462299"/>
    <w:rsid w:val="0047115C"/>
    <w:rsid w:val="00476EBF"/>
    <w:rsid w:val="004827CC"/>
    <w:rsid w:val="00493AD5"/>
    <w:rsid w:val="00493DD5"/>
    <w:rsid w:val="004A4C20"/>
    <w:rsid w:val="004B48C6"/>
    <w:rsid w:val="004D0421"/>
    <w:rsid w:val="004E3089"/>
    <w:rsid w:val="004E50CD"/>
    <w:rsid w:val="004E5AE5"/>
    <w:rsid w:val="004F094D"/>
    <w:rsid w:val="0053694B"/>
    <w:rsid w:val="00536BCB"/>
    <w:rsid w:val="00540EA5"/>
    <w:rsid w:val="00543045"/>
    <w:rsid w:val="005436C0"/>
    <w:rsid w:val="005467AD"/>
    <w:rsid w:val="00550278"/>
    <w:rsid w:val="005714A5"/>
    <w:rsid w:val="005725E2"/>
    <w:rsid w:val="005A2684"/>
    <w:rsid w:val="005A3D33"/>
    <w:rsid w:val="005C1393"/>
    <w:rsid w:val="005C6F81"/>
    <w:rsid w:val="005D36B6"/>
    <w:rsid w:val="005D5D66"/>
    <w:rsid w:val="005D6129"/>
    <w:rsid w:val="005E4E15"/>
    <w:rsid w:val="005E6FFA"/>
    <w:rsid w:val="005F32C6"/>
    <w:rsid w:val="00603DFF"/>
    <w:rsid w:val="00604DD4"/>
    <w:rsid w:val="0061068C"/>
    <w:rsid w:val="00614109"/>
    <w:rsid w:val="00616814"/>
    <w:rsid w:val="006215B3"/>
    <w:rsid w:val="0064189F"/>
    <w:rsid w:val="0065125B"/>
    <w:rsid w:val="00661D2B"/>
    <w:rsid w:val="0067448C"/>
    <w:rsid w:val="00677FEB"/>
    <w:rsid w:val="006A018E"/>
    <w:rsid w:val="006A263E"/>
    <w:rsid w:val="006A4488"/>
    <w:rsid w:val="006A5908"/>
    <w:rsid w:val="006B528B"/>
    <w:rsid w:val="006D3E7D"/>
    <w:rsid w:val="006D7378"/>
    <w:rsid w:val="006E0A08"/>
    <w:rsid w:val="006E27F8"/>
    <w:rsid w:val="006E3345"/>
    <w:rsid w:val="006F0C3E"/>
    <w:rsid w:val="007135D7"/>
    <w:rsid w:val="00722BEC"/>
    <w:rsid w:val="00723E30"/>
    <w:rsid w:val="00725F2C"/>
    <w:rsid w:val="00743D2D"/>
    <w:rsid w:val="007646B7"/>
    <w:rsid w:val="00766E0E"/>
    <w:rsid w:val="00784D36"/>
    <w:rsid w:val="00797C17"/>
    <w:rsid w:val="007A417C"/>
    <w:rsid w:val="007B304F"/>
    <w:rsid w:val="007E185F"/>
    <w:rsid w:val="007E7D11"/>
    <w:rsid w:val="00801824"/>
    <w:rsid w:val="0081010C"/>
    <w:rsid w:val="008231E2"/>
    <w:rsid w:val="008360E4"/>
    <w:rsid w:val="00840F14"/>
    <w:rsid w:val="008477A1"/>
    <w:rsid w:val="008601B4"/>
    <w:rsid w:val="00865A95"/>
    <w:rsid w:val="00870D7F"/>
    <w:rsid w:val="00871565"/>
    <w:rsid w:val="00871DA8"/>
    <w:rsid w:val="00875E3F"/>
    <w:rsid w:val="00882074"/>
    <w:rsid w:val="008848B7"/>
    <w:rsid w:val="0088750D"/>
    <w:rsid w:val="008A1618"/>
    <w:rsid w:val="008A2AC0"/>
    <w:rsid w:val="008A4108"/>
    <w:rsid w:val="008A4458"/>
    <w:rsid w:val="008B63B2"/>
    <w:rsid w:val="008C1365"/>
    <w:rsid w:val="008C5770"/>
    <w:rsid w:val="008D0B1A"/>
    <w:rsid w:val="008D0B4C"/>
    <w:rsid w:val="008D58D8"/>
    <w:rsid w:val="008F184C"/>
    <w:rsid w:val="0090056F"/>
    <w:rsid w:val="00901E7F"/>
    <w:rsid w:val="009032FD"/>
    <w:rsid w:val="009066F6"/>
    <w:rsid w:val="00915096"/>
    <w:rsid w:val="00940259"/>
    <w:rsid w:val="00944E50"/>
    <w:rsid w:val="0094530E"/>
    <w:rsid w:val="00951F61"/>
    <w:rsid w:val="00955B0B"/>
    <w:rsid w:val="00964E05"/>
    <w:rsid w:val="00965088"/>
    <w:rsid w:val="00974016"/>
    <w:rsid w:val="00986C1A"/>
    <w:rsid w:val="009A7B23"/>
    <w:rsid w:val="009C0C3B"/>
    <w:rsid w:val="009C496B"/>
    <w:rsid w:val="009D6133"/>
    <w:rsid w:val="009E7609"/>
    <w:rsid w:val="009F3D06"/>
    <w:rsid w:val="00A01A2B"/>
    <w:rsid w:val="00A01D1F"/>
    <w:rsid w:val="00A10D37"/>
    <w:rsid w:val="00A13890"/>
    <w:rsid w:val="00A323AB"/>
    <w:rsid w:val="00A44202"/>
    <w:rsid w:val="00A65CE5"/>
    <w:rsid w:val="00A75794"/>
    <w:rsid w:val="00A7669D"/>
    <w:rsid w:val="00A805AA"/>
    <w:rsid w:val="00A851E9"/>
    <w:rsid w:val="00A90ADF"/>
    <w:rsid w:val="00A93FCB"/>
    <w:rsid w:val="00AB144D"/>
    <w:rsid w:val="00AB77AC"/>
    <w:rsid w:val="00AD00C7"/>
    <w:rsid w:val="00AD3EDD"/>
    <w:rsid w:val="00AE26B4"/>
    <w:rsid w:val="00AF1D17"/>
    <w:rsid w:val="00B13BB4"/>
    <w:rsid w:val="00B14306"/>
    <w:rsid w:val="00B27AED"/>
    <w:rsid w:val="00B30670"/>
    <w:rsid w:val="00B371A2"/>
    <w:rsid w:val="00B513C0"/>
    <w:rsid w:val="00B66E1D"/>
    <w:rsid w:val="00B74543"/>
    <w:rsid w:val="00BA26E3"/>
    <w:rsid w:val="00BC507C"/>
    <w:rsid w:val="00BE4D48"/>
    <w:rsid w:val="00BF1455"/>
    <w:rsid w:val="00BF607A"/>
    <w:rsid w:val="00BF61AA"/>
    <w:rsid w:val="00BF7DC7"/>
    <w:rsid w:val="00C0001A"/>
    <w:rsid w:val="00C04D68"/>
    <w:rsid w:val="00C05271"/>
    <w:rsid w:val="00C05F49"/>
    <w:rsid w:val="00C20EF1"/>
    <w:rsid w:val="00C40D60"/>
    <w:rsid w:val="00C515F6"/>
    <w:rsid w:val="00C542FE"/>
    <w:rsid w:val="00C54591"/>
    <w:rsid w:val="00C56446"/>
    <w:rsid w:val="00C57E86"/>
    <w:rsid w:val="00C77FC5"/>
    <w:rsid w:val="00C81AEA"/>
    <w:rsid w:val="00C832E7"/>
    <w:rsid w:val="00CA57CE"/>
    <w:rsid w:val="00CA7EF1"/>
    <w:rsid w:val="00CB549F"/>
    <w:rsid w:val="00CC0DB6"/>
    <w:rsid w:val="00CD0C6C"/>
    <w:rsid w:val="00CD0F06"/>
    <w:rsid w:val="00CD5A4D"/>
    <w:rsid w:val="00CD5B3B"/>
    <w:rsid w:val="00CD7F9B"/>
    <w:rsid w:val="00CE1717"/>
    <w:rsid w:val="00CE5733"/>
    <w:rsid w:val="00D026A3"/>
    <w:rsid w:val="00D06E9C"/>
    <w:rsid w:val="00D12377"/>
    <w:rsid w:val="00D22183"/>
    <w:rsid w:val="00D232AB"/>
    <w:rsid w:val="00D26A2F"/>
    <w:rsid w:val="00D327AD"/>
    <w:rsid w:val="00D41980"/>
    <w:rsid w:val="00D476B7"/>
    <w:rsid w:val="00D530A0"/>
    <w:rsid w:val="00D62CDD"/>
    <w:rsid w:val="00D86061"/>
    <w:rsid w:val="00D86F1D"/>
    <w:rsid w:val="00D93F53"/>
    <w:rsid w:val="00D9453E"/>
    <w:rsid w:val="00D96458"/>
    <w:rsid w:val="00DB087E"/>
    <w:rsid w:val="00DB2333"/>
    <w:rsid w:val="00DB43B1"/>
    <w:rsid w:val="00DD41DA"/>
    <w:rsid w:val="00DD4D27"/>
    <w:rsid w:val="00DE7F5D"/>
    <w:rsid w:val="00DF3E11"/>
    <w:rsid w:val="00DF7BF3"/>
    <w:rsid w:val="00DF7E1B"/>
    <w:rsid w:val="00E0323B"/>
    <w:rsid w:val="00E04E0D"/>
    <w:rsid w:val="00E06D23"/>
    <w:rsid w:val="00E070CF"/>
    <w:rsid w:val="00E4198A"/>
    <w:rsid w:val="00E532F8"/>
    <w:rsid w:val="00E562FC"/>
    <w:rsid w:val="00E64A57"/>
    <w:rsid w:val="00E72F47"/>
    <w:rsid w:val="00E77F23"/>
    <w:rsid w:val="00E80D5E"/>
    <w:rsid w:val="00EA0F6C"/>
    <w:rsid w:val="00EA37F7"/>
    <w:rsid w:val="00EB6ABD"/>
    <w:rsid w:val="00ED27DE"/>
    <w:rsid w:val="00ED3CB8"/>
    <w:rsid w:val="00EE0D8D"/>
    <w:rsid w:val="00EE32F2"/>
    <w:rsid w:val="00EE4A71"/>
    <w:rsid w:val="00F20C2E"/>
    <w:rsid w:val="00F250C3"/>
    <w:rsid w:val="00F30363"/>
    <w:rsid w:val="00F5316D"/>
    <w:rsid w:val="00F56471"/>
    <w:rsid w:val="00F67D20"/>
    <w:rsid w:val="00F70995"/>
    <w:rsid w:val="00F72651"/>
    <w:rsid w:val="00F83F94"/>
    <w:rsid w:val="00FA7D0C"/>
    <w:rsid w:val="00FB3F7D"/>
    <w:rsid w:val="00FB6D27"/>
    <w:rsid w:val="00FC4284"/>
    <w:rsid w:val="00FC7E0D"/>
    <w:rsid w:val="00FD7204"/>
    <w:rsid w:val="00FE2F2C"/>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79C914"/>
  <w14:defaultImageDpi w14:val="300"/>
  <w15:docId w15:val="{0FE28D9A-83E7-4A70-BA28-01DF62DC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50E"/>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basedOn w:val="Normal"/>
    <w:link w:val="FootnoteTextChar"/>
    <w:uiPriority w:val="99"/>
    <w:semiHidden/>
    <w:unhideWhenUsed/>
    <w:rsid w:val="003E750E"/>
    <w:pPr>
      <w:spacing w:after="0"/>
      <w:ind w:left="0"/>
    </w:pPr>
    <w:rPr>
      <w:sz w:val="16"/>
      <w:szCs w:val="20"/>
    </w:rPr>
  </w:style>
  <w:style w:type="character" w:customStyle="1" w:styleId="FootnoteTextChar">
    <w:name w:val="Footnote Text Char"/>
    <w:basedOn w:val="DefaultParagraphFont"/>
    <w:link w:val="FootnoteText"/>
    <w:uiPriority w:val="99"/>
    <w:semiHidden/>
    <w:rsid w:val="003E750E"/>
    <w:rPr>
      <w:rFonts w:ascii="Trebuchet MS" w:hAnsi="Trebuchet MS"/>
      <w:sz w:val="16"/>
    </w:rPr>
  </w:style>
  <w:style w:type="character" w:styleId="FootnoteReference">
    <w:name w:val="footnote reference"/>
    <w:basedOn w:val="DefaultParagraphFont"/>
    <w:unhideWhenUsed/>
    <w:rsid w:val="00A65CE5"/>
    <w:rPr>
      <w:vertAlign w:val="superscript"/>
    </w:rPr>
  </w:style>
  <w:style w:type="table" w:customStyle="1" w:styleId="Tabelgril1">
    <w:name w:val="Tabel grilă1"/>
    <w:basedOn w:val="TableNormal"/>
    <w:next w:val="TableGrid"/>
    <w:uiPriority w:val="59"/>
    <w:rsid w:val="00C04D6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C81AEA"/>
    <w:pPr>
      <w:ind w:left="720"/>
      <w:contextualSpacing/>
    </w:pPr>
  </w:style>
  <w:style w:type="character" w:styleId="UnresolvedMention">
    <w:name w:val="Unresolved Mention"/>
    <w:basedOn w:val="DefaultParagraphFont"/>
    <w:uiPriority w:val="99"/>
    <w:semiHidden/>
    <w:unhideWhenUsed/>
    <w:rsid w:val="001B5E0B"/>
    <w:rPr>
      <w:color w:val="605E5C"/>
      <w:shd w:val="clear" w:color="auto" w:fill="E1DFDD"/>
    </w:rPr>
  </w:style>
  <w:style w:type="paragraph" w:customStyle="1" w:styleId="Footer1">
    <w:name w:val="Footer1"/>
    <w:basedOn w:val="Normal"/>
    <w:link w:val="footerChar0"/>
    <w:qFormat/>
    <w:rsid w:val="000A67C7"/>
    <w:pPr>
      <w:tabs>
        <w:tab w:val="center" w:pos="4680"/>
        <w:tab w:val="right" w:pos="9360"/>
      </w:tabs>
      <w:spacing w:after="0"/>
      <w:ind w:left="0"/>
      <w:jc w:val="center"/>
    </w:pPr>
    <w:rPr>
      <w:rFonts w:eastAsia="Calibri"/>
      <w:b/>
      <w:i/>
      <w:noProof/>
      <w:color w:val="003399"/>
      <w:sz w:val="20"/>
      <w:szCs w:val="20"/>
      <w:lang w:val="ro-RO" w:eastAsia="ro-RO"/>
    </w:rPr>
  </w:style>
  <w:style w:type="character" w:customStyle="1" w:styleId="footerChar0">
    <w:name w:val="footer Char"/>
    <w:link w:val="Footer1"/>
    <w:rsid w:val="000A67C7"/>
    <w:rPr>
      <w:rFonts w:ascii="Trebuchet MS" w:eastAsia="Calibri" w:hAnsi="Trebuchet MS"/>
      <w:b/>
      <w:i/>
      <w:noProof/>
      <w:color w:val="003399"/>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cultura.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just.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16439-B008-4D0D-9207-72B130EA4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27</TotalTime>
  <Pages>1</Pages>
  <Words>3853</Words>
  <Characters>21966</Characters>
  <Application>Microsoft Office Word</Application>
  <DocSecurity>0</DocSecurity>
  <Lines>183</Lines>
  <Paragraphs>51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25768</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Duta</dc:creator>
  <cp:lastModifiedBy>Stefania Duta</cp:lastModifiedBy>
  <cp:revision>15</cp:revision>
  <cp:lastPrinted>2024-07-12T06:00:00Z</cp:lastPrinted>
  <dcterms:created xsi:type="dcterms:W3CDTF">2023-12-05T12:01:00Z</dcterms:created>
  <dcterms:modified xsi:type="dcterms:W3CDTF">2024-07-12T06:00:00Z</dcterms:modified>
</cp:coreProperties>
</file>