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3B" w:rsidRPr="001A37B7" w:rsidRDefault="00CD5B3B" w:rsidP="00972E3A">
      <w:pPr>
        <w:spacing w:after="120" w:line="276" w:lineRule="auto"/>
        <w:rPr>
          <w:lang w:val="ro-RO"/>
        </w:rPr>
      </w:pPr>
      <w:bookmarkStart w:id="0" w:name="_GoBack"/>
      <w:bookmarkEnd w:id="0"/>
    </w:p>
    <w:p w:rsidR="00FA35EC" w:rsidRPr="001A37B7" w:rsidRDefault="00FA35EC" w:rsidP="00972E3A">
      <w:pPr>
        <w:spacing w:after="120" w:line="276" w:lineRule="auto"/>
        <w:rPr>
          <w:lang w:val="ro-RO"/>
        </w:rPr>
      </w:pPr>
    </w:p>
    <w:p w:rsidR="00FA35EC" w:rsidRPr="001A37B7" w:rsidRDefault="00FA35EC" w:rsidP="00972E3A">
      <w:pPr>
        <w:spacing w:after="120" w:line="276" w:lineRule="auto"/>
        <w:rPr>
          <w:lang w:val="ro-RO"/>
        </w:rPr>
      </w:pPr>
    </w:p>
    <w:p w:rsidR="00FA35EC" w:rsidRPr="001A37B7" w:rsidRDefault="00FA35EC" w:rsidP="00972E3A">
      <w:pPr>
        <w:spacing w:after="120" w:line="276" w:lineRule="auto"/>
        <w:rPr>
          <w:lang w:val="ro-RO"/>
        </w:rPr>
      </w:pPr>
    </w:p>
    <w:p w:rsidR="00FA35EC" w:rsidRPr="001A37B7" w:rsidRDefault="00FA35EC" w:rsidP="00972E3A">
      <w:pPr>
        <w:spacing w:after="120" w:line="276" w:lineRule="auto"/>
        <w:rPr>
          <w:lang w:val="ro-RO"/>
        </w:rPr>
      </w:pPr>
    </w:p>
    <w:p w:rsidR="00FA35EC" w:rsidRPr="001A37B7" w:rsidRDefault="00FA35EC" w:rsidP="00972E3A">
      <w:pPr>
        <w:spacing w:after="120" w:line="276" w:lineRule="auto"/>
        <w:rPr>
          <w:lang w:val="ro-RO"/>
        </w:rPr>
      </w:pPr>
    </w:p>
    <w:tbl>
      <w:tblPr>
        <w:tblStyle w:val="TableGrid"/>
        <w:tblW w:w="0" w:type="auto"/>
        <w:tblLook w:val="04A0" w:firstRow="1" w:lastRow="0" w:firstColumn="1" w:lastColumn="0" w:noHBand="0" w:noVBand="1"/>
      </w:tblPr>
      <w:tblGrid>
        <w:gridCol w:w="9055"/>
      </w:tblGrid>
      <w:tr w:rsidR="00C35325" w:rsidRPr="00CD48F9" w:rsidTr="00C35325">
        <w:trPr>
          <w:trHeight w:val="2646"/>
        </w:trPr>
        <w:tc>
          <w:tcPr>
            <w:tcW w:w="9281" w:type="dxa"/>
            <w:shd w:val="clear" w:color="auto" w:fill="0000FF"/>
          </w:tcPr>
          <w:p w:rsidR="00C35325" w:rsidRPr="001A37B7" w:rsidRDefault="00C35325" w:rsidP="00972E3A">
            <w:pPr>
              <w:spacing w:after="120" w:line="276" w:lineRule="auto"/>
              <w:rPr>
                <w:lang w:val="ro-RO"/>
              </w:rPr>
            </w:pPr>
          </w:p>
          <w:p w:rsidR="00C35325" w:rsidRPr="00CD48F9" w:rsidRDefault="00C35325" w:rsidP="00972E3A">
            <w:pPr>
              <w:spacing w:after="120" w:line="276" w:lineRule="auto"/>
              <w:jc w:val="center"/>
              <w:rPr>
                <w:sz w:val="28"/>
                <w:szCs w:val="28"/>
                <w:lang w:val="ro-RO"/>
              </w:rPr>
            </w:pPr>
            <w:r w:rsidRPr="00CD48F9">
              <w:rPr>
                <w:sz w:val="28"/>
                <w:szCs w:val="28"/>
                <w:lang w:val="ro-RO"/>
              </w:rPr>
              <w:t>RAPORT DE PROGRES PRIVIND IMPLEMENTAREA</w:t>
            </w:r>
          </w:p>
          <w:p w:rsidR="00C35325" w:rsidRPr="00CD48F9" w:rsidRDefault="00C35325" w:rsidP="00972E3A">
            <w:pPr>
              <w:spacing w:after="120" w:line="276" w:lineRule="auto"/>
              <w:jc w:val="center"/>
              <w:rPr>
                <w:sz w:val="28"/>
                <w:szCs w:val="28"/>
                <w:lang w:val="ro-RO"/>
              </w:rPr>
            </w:pPr>
            <w:r w:rsidRPr="00CD48F9">
              <w:rPr>
                <w:sz w:val="28"/>
                <w:szCs w:val="28"/>
                <w:lang w:val="ro-RO"/>
              </w:rPr>
              <w:t>STRATEGIEI NAŢIONALE ANTICORUPŢIE 2016-2020</w:t>
            </w:r>
            <w:r w:rsidR="0006330C" w:rsidRPr="00CD48F9">
              <w:rPr>
                <w:sz w:val="28"/>
                <w:szCs w:val="28"/>
                <w:lang w:val="ro-RO"/>
              </w:rPr>
              <w:t xml:space="preserve"> DE CĂTRE</w:t>
            </w:r>
            <w:r w:rsidRPr="00CD48F9">
              <w:rPr>
                <w:sz w:val="28"/>
                <w:szCs w:val="28"/>
                <w:lang w:val="ro-RO"/>
              </w:rPr>
              <w:t xml:space="preserve"> </w:t>
            </w:r>
          </w:p>
          <w:p w:rsidR="0006330C" w:rsidRPr="00CD48F9" w:rsidRDefault="00C35325" w:rsidP="00972E3A">
            <w:pPr>
              <w:spacing w:after="120" w:line="276" w:lineRule="auto"/>
              <w:jc w:val="center"/>
              <w:rPr>
                <w:sz w:val="28"/>
                <w:szCs w:val="28"/>
                <w:lang w:val="ro-RO"/>
              </w:rPr>
            </w:pPr>
            <w:r w:rsidRPr="00CD48F9">
              <w:rPr>
                <w:sz w:val="28"/>
                <w:szCs w:val="28"/>
                <w:lang w:val="ro-RO"/>
              </w:rPr>
              <w:t>MINISTERUL JUSTIŢIEI ȘI INSTITUȚIILE SUBORDONATE</w:t>
            </w:r>
            <w:r w:rsidR="0006330C" w:rsidRPr="00CD48F9">
              <w:rPr>
                <w:sz w:val="28"/>
                <w:szCs w:val="28"/>
                <w:lang w:val="ro-RO"/>
              </w:rPr>
              <w:t xml:space="preserve"> </w:t>
            </w:r>
          </w:p>
          <w:p w:rsidR="00C35325" w:rsidRPr="00CD48F9" w:rsidRDefault="0006330C" w:rsidP="00972E3A">
            <w:pPr>
              <w:spacing w:after="120" w:line="276" w:lineRule="auto"/>
              <w:jc w:val="center"/>
              <w:rPr>
                <w:sz w:val="24"/>
                <w:szCs w:val="24"/>
                <w:lang w:val="ro-RO"/>
              </w:rPr>
            </w:pPr>
            <w:r w:rsidRPr="00CD48F9">
              <w:rPr>
                <w:sz w:val="28"/>
                <w:szCs w:val="28"/>
                <w:lang w:val="ro-RO"/>
              </w:rPr>
              <w:t>PENTRU ANUL 201</w:t>
            </w:r>
            <w:r w:rsidR="002B734F" w:rsidRPr="00CD48F9">
              <w:rPr>
                <w:sz w:val="28"/>
                <w:szCs w:val="28"/>
                <w:lang w:val="ro-RO"/>
              </w:rPr>
              <w:t>9</w:t>
            </w:r>
          </w:p>
          <w:p w:rsidR="00C35325" w:rsidRPr="00CD48F9" w:rsidRDefault="00C35325" w:rsidP="00972E3A">
            <w:pPr>
              <w:spacing w:after="120" w:line="276" w:lineRule="auto"/>
              <w:rPr>
                <w:lang w:val="ro-RO"/>
              </w:rPr>
            </w:pPr>
          </w:p>
        </w:tc>
      </w:tr>
    </w:tbl>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FA35EC" w:rsidP="00972E3A">
      <w:pPr>
        <w:spacing w:after="120" w:line="276" w:lineRule="auto"/>
        <w:rPr>
          <w:lang w:val="ro-RO"/>
        </w:rPr>
      </w:pPr>
    </w:p>
    <w:p w:rsidR="00FA35EC" w:rsidRPr="00CD48F9" w:rsidRDefault="00CD48F9" w:rsidP="00972E3A">
      <w:pPr>
        <w:spacing w:after="120" w:line="276" w:lineRule="auto"/>
        <w:jc w:val="center"/>
        <w:rPr>
          <w:b/>
          <w:lang w:val="ro-RO"/>
        </w:rPr>
      </w:pPr>
      <w:r w:rsidRPr="00CD48F9">
        <w:rPr>
          <w:b/>
          <w:lang w:val="ro-RO"/>
        </w:rPr>
        <w:t>Aprilie</w:t>
      </w:r>
      <w:r w:rsidR="002B734F" w:rsidRPr="00CD48F9">
        <w:rPr>
          <w:b/>
          <w:lang w:val="ro-RO"/>
        </w:rPr>
        <w:t xml:space="preserve"> 2020</w:t>
      </w:r>
    </w:p>
    <w:p w:rsidR="00FA35EC" w:rsidRPr="00CD48F9" w:rsidRDefault="00FA35EC" w:rsidP="00972E3A">
      <w:pPr>
        <w:spacing w:after="120" w:line="276" w:lineRule="auto"/>
        <w:rPr>
          <w:lang w:val="ro-RO"/>
        </w:rPr>
      </w:pPr>
    </w:p>
    <w:sdt>
      <w:sdtPr>
        <w:rPr>
          <w:rFonts w:ascii="Trebuchet MS" w:eastAsia="MS Mincho" w:hAnsi="Trebuchet MS" w:cs="Times New Roman"/>
          <w:b w:val="0"/>
          <w:bCs w:val="0"/>
          <w:color w:val="auto"/>
          <w:sz w:val="22"/>
          <w:szCs w:val="22"/>
          <w:lang w:val="ro-RO" w:eastAsia="en-US"/>
        </w:rPr>
        <w:id w:val="1157120954"/>
        <w:docPartObj>
          <w:docPartGallery w:val="Table of Contents"/>
          <w:docPartUnique/>
        </w:docPartObj>
      </w:sdtPr>
      <w:sdtEndPr>
        <w:rPr>
          <w:noProof/>
        </w:rPr>
      </w:sdtEndPr>
      <w:sdtContent>
        <w:p w:rsidR="00242853" w:rsidRPr="00CD48F9" w:rsidRDefault="00242853" w:rsidP="00972E3A">
          <w:pPr>
            <w:pStyle w:val="TOCHeading"/>
            <w:spacing w:before="0" w:after="120"/>
            <w:rPr>
              <w:color w:val="auto"/>
              <w:lang w:val="ro-RO"/>
            </w:rPr>
          </w:pPr>
          <w:r w:rsidRPr="00CD48F9">
            <w:rPr>
              <w:rFonts w:ascii="Trebuchet MS" w:hAnsi="Trebuchet MS"/>
              <w:color w:val="auto"/>
              <w:lang w:val="ro-RO"/>
            </w:rPr>
            <w:t>Cuprins</w:t>
          </w:r>
        </w:p>
        <w:p w:rsidR="00242853" w:rsidRPr="00CD48F9" w:rsidRDefault="00C1111E" w:rsidP="00972E3A">
          <w:pPr>
            <w:pStyle w:val="TOC1"/>
            <w:spacing w:after="120"/>
            <w:rPr>
              <w:lang w:eastAsia="en-US"/>
            </w:rPr>
          </w:pPr>
          <w:r w:rsidRPr="00CD48F9">
            <w:fldChar w:fldCharType="begin"/>
          </w:r>
          <w:r w:rsidR="00242853" w:rsidRPr="00CD48F9">
            <w:instrText xml:space="preserve"> TOC \o "1-3" \h \z \u </w:instrText>
          </w:r>
          <w:r w:rsidRPr="00CD48F9">
            <w:fldChar w:fldCharType="separate"/>
          </w:r>
          <w:hyperlink w:anchor="_Toc3376504" w:history="1">
            <w:r w:rsidR="00195B42" w:rsidRPr="00CD48F9">
              <w:rPr>
                <w:rStyle w:val="Hyperlink"/>
              </w:rPr>
              <w:t>1. Introducere.</w:t>
            </w:r>
            <w:r w:rsidR="00242853" w:rsidRPr="00CD48F9">
              <w:rPr>
                <w:rStyle w:val="Hyperlink"/>
              </w:rPr>
              <w:t>.</w:t>
            </w:r>
            <w:r w:rsidR="00195B42" w:rsidRPr="00CD48F9">
              <w:rPr>
                <w:rStyle w:val="Hyperlink"/>
              </w:rPr>
              <w:t>...............</w:t>
            </w:r>
            <w:r w:rsidR="00242853" w:rsidRPr="00CD48F9">
              <w:rPr>
                <w:webHidden/>
              </w:rPr>
              <w:tab/>
            </w:r>
            <w:r w:rsidRPr="00CD48F9">
              <w:rPr>
                <w:webHidden/>
              </w:rPr>
              <w:fldChar w:fldCharType="begin"/>
            </w:r>
            <w:r w:rsidR="00242853" w:rsidRPr="00CD48F9">
              <w:rPr>
                <w:webHidden/>
              </w:rPr>
              <w:instrText xml:space="preserve"> PAGEREF _Toc3376504 \h </w:instrText>
            </w:r>
            <w:r w:rsidRPr="00CD48F9">
              <w:rPr>
                <w:webHidden/>
              </w:rPr>
            </w:r>
            <w:r w:rsidRPr="00CD48F9">
              <w:rPr>
                <w:webHidden/>
              </w:rPr>
              <w:fldChar w:fldCharType="separate"/>
            </w:r>
            <w:r w:rsidR="00AB4CE4">
              <w:rPr>
                <w:webHidden/>
              </w:rPr>
              <w:t>4</w:t>
            </w:r>
            <w:r w:rsidRPr="00CD48F9">
              <w:rPr>
                <w:webHidden/>
              </w:rPr>
              <w:fldChar w:fldCharType="end"/>
            </w:r>
          </w:hyperlink>
        </w:p>
        <w:p w:rsidR="00242853" w:rsidRPr="00CD48F9" w:rsidRDefault="003E3A75" w:rsidP="00972E3A">
          <w:pPr>
            <w:pStyle w:val="TOC1"/>
            <w:spacing w:after="120"/>
            <w:rPr>
              <w:lang w:eastAsia="en-US"/>
            </w:rPr>
          </w:pPr>
          <w:hyperlink w:anchor="_Toc3376505" w:history="1">
            <w:r w:rsidR="00195B42" w:rsidRPr="00CD48F9">
              <w:rPr>
                <w:rStyle w:val="Hyperlink"/>
              </w:rPr>
              <w:t>2. Monitorizarea</w:t>
            </w:r>
            <w:r w:rsidR="00242853" w:rsidRPr="00CD48F9">
              <w:rPr>
                <w:rStyle w:val="Hyperlink"/>
              </w:rPr>
              <w:t xml:space="preserve"> SNA 2016-2020</w:t>
            </w:r>
            <w:r w:rsidR="00242853" w:rsidRPr="00CD48F9">
              <w:rPr>
                <w:webHidden/>
              </w:rPr>
              <w:tab/>
            </w:r>
            <w:r w:rsidR="00C1111E" w:rsidRPr="00CD48F9">
              <w:rPr>
                <w:webHidden/>
              </w:rPr>
              <w:fldChar w:fldCharType="begin"/>
            </w:r>
            <w:r w:rsidR="00242853" w:rsidRPr="00CD48F9">
              <w:rPr>
                <w:webHidden/>
              </w:rPr>
              <w:instrText xml:space="preserve"> PAGEREF _Toc3376505 \h </w:instrText>
            </w:r>
            <w:r w:rsidR="00C1111E" w:rsidRPr="00CD48F9">
              <w:rPr>
                <w:webHidden/>
              </w:rPr>
            </w:r>
            <w:r w:rsidR="00C1111E" w:rsidRPr="00CD48F9">
              <w:rPr>
                <w:webHidden/>
              </w:rPr>
              <w:fldChar w:fldCharType="separate"/>
            </w:r>
            <w:r w:rsidR="00AB4CE4">
              <w:rPr>
                <w:webHidden/>
              </w:rPr>
              <w:t>4</w:t>
            </w:r>
            <w:r w:rsidR="00C1111E" w:rsidRPr="00CD48F9">
              <w:rPr>
                <w:webHidden/>
              </w:rPr>
              <w:fldChar w:fldCharType="end"/>
            </w:r>
          </w:hyperlink>
        </w:p>
        <w:p w:rsidR="00242853" w:rsidRPr="00CD48F9" w:rsidRDefault="003E3A75" w:rsidP="00972E3A">
          <w:pPr>
            <w:pStyle w:val="TOC1"/>
            <w:spacing w:after="120"/>
          </w:pPr>
          <w:hyperlink w:anchor="_Toc3376506" w:history="1">
            <w:r w:rsidR="00195B42" w:rsidRPr="00CD48F9">
              <w:rPr>
                <w:rStyle w:val="Hyperlink"/>
              </w:rPr>
              <w:t>2.1. Context naţional</w:t>
            </w:r>
            <w:r w:rsidR="00242853" w:rsidRPr="00CD48F9">
              <w:rPr>
                <w:webHidden/>
              </w:rPr>
              <w:tab/>
            </w:r>
            <w:r w:rsidR="00333138" w:rsidRPr="00CD48F9">
              <w:rPr>
                <w:webHidden/>
              </w:rPr>
              <w:t>4</w:t>
            </w:r>
          </w:hyperlink>
        </w:p>
        <w:p w:rsidR="00195B42" w:rsidRPr="00CD48F9" w:rsidRDefault="00195B42" w:rsidP="00972E3A">
          <w:pPr>
            <w:spacing w:after="120" w:line="276" w:lineRule="auto"/>
            <w:rPr>
              <w:lang w:val="ro-RO" w:eastAsia="ja-JP"/>
            </w:rPr>
          </w:pPr>
          <w:r w:rsidRPr="00CD48F9">
            <w:rPr>
              <w:rFonts w:eastAsiaTheme="minorEastAsia" w:cstheme="minorBidi"/>
              <w:noProof/>
              <w:lang w:val="ro-RO" w:eastAsia="ja-JP"/>
            </w:rPr>
            <w:t>2.2. Context european..................................................................................</w:t>
          </w:r>
          <w:r w:rsidRPr="00CD48F9">
            <w:rPr>
              <w:lang w:val="ro-RO" w:eastAsia="ja-JP"/>
            </w:rPr>
            <w:t>.5</w:t>
          </w:r>
        </w:p>
        <w:p w:rsidR="00242853" w:rsidRPr="00CD48F9" w:rsidRDefault="003E3A75" w:rsidP="00972E3A">
          <w:pPr>
            <w:pStyle w:val="TOC1"/>
            <w:spacing w:after="120"/>
          </w:pPr>
          <w:hyperlink w:anchor="_Toc3376507" w:history="1">
            <w:r w:rsidR="00195B42" w:rsidRPr="00CD48F9">
              <w:rPr>
                <w:rStyle w:val="Hyperlink"/>
              </w:rPr>
              <w:t>2.3</w:t>
            </w:r>
            <w:r w:rsidR="00242853" w:rsidRPr="00CD48F9">
              <w:rPr>
                <w:rStyle w:val="Hyperlink"/>
              </w:rPr>
              <w:t>. Activităţile Secretariatului tehnic al SNA</w:t>
            </w:r>
            <w:r w:rsidR="00242853" w:rsidRPr="00CD48F9">
              <w:rPr>
                <w:webHidden/>
              </w:rPr>
              <w:tab/>
            </w:r>
            <w:r w:rsidR="00C1111E" w:rsidRPr="00CD48F9">
              <w:rPr>
                <w:webHidden/>
              </w:rPr>
              <w:fldChar w:fldCharType="begin"/>
            </w:r>
            <w:r w:rsidR="00242853" w:rsidRPr="00CD48F9">
              <w:rPr>
                <w:webHidden/>
              </w:rPr>
              <w:instrText xml:space="preserve"> PAGEREF _Toc3376507 \h </w:instrText>
            </w:r>
            <w:r w:rsidR="00C1111E" w:rsidRPr="00CD48F9">
              <w:rPr>
                <w:webHidden/>
              </w:rPr>
            </w:r>
            <w:r w:rsidR="00C1111E" w:rsidRPr="00CD48F9">
              <w:rPr>
                <w:webHidden/>
              </w:rPr>
              <w:fldChar w:fldCharType="separate"/>
            </w:r>
            <w:r w:rsidR="00AB4CE4">
              <w:rPr>
                <w:webHidden/>
              </w:rPr>
              <w:t>5</w:t>
            </w:r>
            <w:r w:rsidR="00C1111E" w:rsidRPr="00CD48F9">
              <w:rPr>
                <w:webHidden/>
              </w:rPr>
              <w:fldChar w:fldCharType="end"/>
            </w:r>
          </w:hyperlink>
        </w:p>
        <w:p w:rsidR="00725F84" w:rsidRPr="00CD48F9" w:rsidRDefault="00725F84" w:rsidP="00972E3A">
          <w:pPr>
            <w:spacing w:after="120" w:line="276" w:lineRule="auto"/>
            <w:rPr>
              <w:lang w:val="ro-RO" w:eastAsia="ja-JP"/>
            </w:rPr>
          </w:pPr>
          <w:r w:rsidRPr="00CD48F9">
            <w:rPr>
              <w:lang w:val="ro-RO" w:eastAsia="ja-JP"/>
            </w:rPr>
            <w:t>2.3.1.</w:t>
          </w:r>
          <w:r w:rsidR="00F369E5" w:rsidRPr="00CD48F9">
            <w:rPr>
              <w:lang w:val="ro-RO" w:eastAsia="ja-JP"/>
            </w:rPr>
            <w:t xml:space="preserve"> </w:t>
          </w:r>
          <w:r w:rsidR="0043424D" w:rsidRPr="00CD48F9">
            <w:rPr>
              <w:lang w:val="ro-RO" w:eastAsia="ja-JP"/>
            </w:rPr>
            <w:t>A</w:t>
          </w:r>
          <w:r w:rsidR="00F369E5" w:rsidRPr="00CD48F9">
            <w:rPr>
              <w:lang w:val="ro-RO" w:eastAsia="ja-JP"/>
            </w:rPr>
            <w:t xml:space="preserve">cordarea de </w:t>
          </w:r>
          <w:r w:rsidR="00AB4CE4">
            <w:rPr>
              <w:lang w:val="ro-RO" w:eastAsia="ja-JP"/>
            </w:rPr>
            <w:t>a</w:t>
          </w:r>
          <w:r w:rsidRPr="00CD48F9">
            <w:rPr>
              <w:lang w:val="ro-RO" w:eastAsia="ja-JP"/>
            </w:rPr>
            <w:t>sistență</w:t>
          </w:r>
          <w:r w:rsidR="00F369E5" w:rsidRPr="00CD48F9">
            <w:rPr>
              <w:lang w:val="ro-RO" w:eastAsia="ja-JP"/>
            </w:rPr>
            <w:t>.</w:t>
          </w:r>
          <w:r w:rsidRPr="00CD48F9">
            <w:rPr>
              <w:lang w:val="ro-RO" w:eastAsia="ja-JP"/>
            </w:rPr>
            <w:t>...........................................................</w:t>
          </w:r>
          <w:r w:rsidR="0043424D" w:rsidRPr="00CD48F9">
            <w:rPr>
              <w:lang w:val="ro-RO" w:eastAsia="ja-JP"/>
            </w:rPr>
            <w:t xml:space="preserve">..............5 </w:t>
          </w:r>
        </w:p>
        <w:p w:rsidR="00242853" w:rsidRPr="00CD48F9" w:rsidRDefault="00BC740D" w:rsidP="00972E3A">
          <w:pPr>
            <w:pStyle w:val="TOC1"/>
            <w:spacing w:after="120"/>
            <w:rPr>
              <w:lang w:eastAsia="en-US"/>
            </w:rPr>
          </w:pPr>
          <w:r>
            <w:t>2.3.2. Monitorizare.............................................</w:t>
          </w:r>
          <w:hyperlink w:anchor="_Toc3376509" w:history="1">
            <w:r>
              <w:rPr>
                <w:rStyle w:val="Hyperlink"/>
                <w:lang w:eastAsia="ro-RO"/>
              </w:rPr>
              <w:t>..........................</w:t>
            </w:r>
            <w:r w:rsidR="00242853" w:rsidRPr="00CD48F9">
              <w:rPr>
                <w:webHidden/>
              </w:rPr>
              <w:tab/>
            </w:r>
            <w:r w:rsidR="00C1111E" w:rsidRPr="00CD48F9">
              <w:rPr>
                <w:webHidden/>
              </w:rPr>
              <w:fldChar w:fldCharType="begin"/>
            </w:r>
            <w:r w:rsidR="00242853" w:rsidRPr="00CD48F9">
              <w:rPr>
                <w:webHidden/>
              </w:rPr>
              <w:instrText xml:space="preserve"> PAGEREF _Toc3376509 \h </w:instrText>
            </w:r>
            <w:r w:rsidR="00C1111E" w:rsidRPr="00CD48F9">
              <w:rPr>
                <w:webHidden/>
              </w:rPr>
            </w:r>
            <w:r w:rsidR="00C1111E" w:rsidRPr="00CD48F9">
              <w:rPr>
                <w:webHidden/>
              </w:rPr>
              <w:fldChar w:fldCharType="separate"/>
            </w:r>
            <w:r w:rsidR="00AB4CE4">
              <w:rPr>
                <w:webHidden/>
              </w:rPr>
              <w:t>6</w:t>
            </w:r>
            <w:r w:rsidR="00C1111E" w:rsidRPr="00CD48F9">
              <w:rPr>
                <w:webHidden/>
              </w:rPr>
              <w:fldChar w:fldCharType="end"/>
            </w:r>
          </w:hyperlink>
        </w:p>
        <w:p w:rsidR="00BC740D" w:rsidRDefault="00BC740D" w:rsidP="00972E3A">
          <w:pPr>
            <w:pStyle w:val="TOC1"/>
            <w:spacing w:after="120"/>
          </w:pPr>
          <w:r w:rsidRPr="00BC740D">
            <w:t>2.3</w:t>
          </w:r>
          <w:r>
            <w:t>.3</w:t>
          </w:r>
          <w:r w:rsidRPr="00BC740D">
            <w:t>. Platformele de cooperare</w:t>
          </w:r>
          <w:r>
            <w:t>.......................................................................7</w:t>
          </w:r>
          <w:r w:rsidRPr="00BC740D">
            <w:t xml:space="preserve"> </w:t>
          </w:r>
        </w:p>
        <w:p w:rsidR="00242853" w:rsidRPr="00CD48F9" w:rsidRDefault="003E3A75" w:rsidP="00972E3A">
          <w:pPr>
            <w:pStyle w:val="TOC1"/>
            <w:spacing w:after="120"/>
            <w:rPr>
              <w:lang w:eastAsia="en-US"/>
            </w:rPr>
          </w:pPr>
          <w:hyperlink w:anchor="_Toc3376510" w:history="1">
            <w:r w:rsidR="00195B42" w:rsidRPr="00CD48F9">
              <w:rPr>
                <w:rStyle w:val="Hyperlink"/>
                <w:lang w:eastAsia="ro-RO"/>
              </w:rPr>
              <w:t>2.3</w:t>
            </w:r>
            <w:r w:rsidR="00BC740D">
              <w:rPr>
                <w:rStyle w:val="Hyperlink"/>
                <w:lang w:eastAsia="ro-RO"/>
              </w:rPr>
              <w:t>.4</w:t>
            </w:r>
            <w:r w:rsidR="00242853" w:rsidRPr="00CD48F9">
              <w:rPr>
                <w:rStyle w:val="Hyperlink"/>
                <w:lang w:eastAsia="ro-RO"/>
              </w:rPr>
              <w:t>. Misiuni de evaluare</w:t>
            </w:r>
            <w:r w:rsidR="00242853" w:rsidRPr="00CD48F9">
              <w:rPr>
                <w:webHidden/>
              </w:rPr>
              <w:tab/>
            </w:r>
            <w:r w:rsidR="00333138" w:rsidRPr="00CD48F9">
              <w:rPr>
                <w:webHidden/>
              </w:rPr>
              <w:t>8</w:t>
            </w:r>
          </w:hyperlink>
        </w:p>
        <w:p w:rsidR="00242853" w:rsidRPr="00CD48F9" w:rsidRDefault="003E3A75" w:rsidP="00972E3A">
          <w:pPr>
            <w:pStyle w:val="TOC1"/>
            <w:spacing w:after="120"/>
            <w:rPr>
              <w:lang w:eastAsia="en-US"/>
            </w:rPr>
          </w:pPr>
          <w:hyperlink w:anchor="_Toc3376512" w:history="1">
            <w:r w:rsidR="00195B42" w:rsidRPr="00CD48F9">
              <w:rPr>
                <w:rStyle w:val="Hyperlink"/>
                <w:lang w:eastAsia="ro-RO"/>
              </w:rPr>
              <w:t>2.3</w:t>
            </w:r>
            <w:r w:rsidR="00BC740D">
              <w:rPr>
                <w:rStyle w:val="Hyperlink"/>
                <w:lang w:eastAsia="ro-RO"/>
              </w:rPr>
              <w:t>.5</w:t>
            </w:r>
            <w:r w:rsidR="00242853" w:rsidRPr="00CD48F9">
              <w:rPr>
                <w:rStyle w:val="Hyperlink"/>
                <w:lang w:eastAsia="ro-RO"/>
              </w:rPr>
              <w:t>. Proiecte cu finanțare externă</w:t>
            </w:r>
            <w:r w:rsidR="00242853" w:rsidRPr="00CD48F9">
              <w:rPr>
                <w:webHidden/>
              </w:rPr>
              <w:tab/>
            </w:r>
            <w:r w:rsidR="00C1111E" w:rsidRPr="00CD48F9">
              <w:rPr>
                <w:webHidden/>
              </w:rPr>
              <w:fldChar w:fldCharType="begin"/>
            </w:r>
            <w:r w:rsidR="00242853" w:rsidRPr="00CD48F9">
              <w:rPr>
                <w:webHidden/>
              </w:rPr>
              <w:instrText xml:space="preserve"> PAGEREF _Toc3376512 \h </w:instrText>
            </w:r>
            <w:r w:rsidR="00C1111E" w:rsidRPr="00CD48F9">
              <w:rPr>
                <w:webHidden/>
              </w:rPr>
            </w:r>
            <w:r w:rsidR="00C1111E" w:rsidRPr="00CD48F9">
              <w:rPr>
                <w:webHidden/>
              </w:rPr>
              <w:fldChar w:fldCharType="separate"/>
            </w:r>
            <w:r w:rsidR="00AB4CE4">
              <w:rPr>
                <w:webHidden/>
              </w:rPr>
              <w:t>9</w:t>
            </w:r>
            <w:r w:rsidR="00C1111E" w:rsidRPr="00CD48F9">
              <w:rPr>
                <w:webHidden/>
              </w:rPr>
              <w:fldChar w:fldCharType="end"/>
            </w:r>
          </w:hyperlink>
        </w:p>
        <w:p w:rsidR="00242853" w:rsidRPr="00CD48F9" w:rsidRDefault="003E3A75" w:rsidP="00972E3A">
          <w:pPr>
            <w:pStyle w:val="TOC1"/>
            <w:spacing w:after="120"/>
            <w:rPr>
              <w:lang w:eastAsia="en-US"/>
            </w:rPr>
          </w:pPr>
          <w:hyperlink w:anchor="_Toc3376513" w:history="1">
            <w:r w:rsidR="00242853" w:rsidRPr="00CD48F9">
              <w:rPr>
                <w:rStyle w:val="Hyperlink"/>
              </w:rPr>
              <w:t>3. Dezvoltarea unei culturi a transparenței pentru o guvernare deschisă la nivel central și local (Obiectivul general 1)</w:t>
            </w:r>
            <w:r w:rsidR="00242853" w:rsidRPr="00CD48F9">
              <w:rPr>
                <w:webHidden/>
              </w:rPr>
              <w:tab/>
            </w:r>
            <w:r w:rsidR="00C1111E" w:rsidRPr="00CD48F9">
              <w:rPr>
                <w:webHidden/>
              </w:rPr>
              <w:fldChar w:fldCharType="begin"/>
            </w:r>
            <w:r w:rsidR="00242853" w:rsidRPr="00CD48F9">
              <w:rPr>
                <w:webHidden/>
              </w:rPr>
              <w:instrText xml:space="preserve"> PAGEREF _Toc3376513 \h </w:instrText>
            </w:r>
            <w:r w:rsidR="00C1111E" w:rsidRPr="00CD48F9">
              <w:rPr>
                <w:webHidden/>
              </w:rPr>
            </w:r>
            <w:r w:rsidR="00C1111E" w:rsidRPr="00CD48F9">
              <w:rPr>
                <w:webHidden/>
              </w:rPr>
              <w:fldChar w:fldCharType="separate"/>
            </w:r>
            <w:r w:rsidR="00AB4CE4">
              <w:rPr>
                <w:webHidden/>
              </w:rPr>
              <w:t>12</w:t>
            </w:r>
            <w:r w:rsidR="00C1111E" w:rsidRPr="00CD48F9">
              <w:rPr>
                <w:webHidden/>
              </w:rPr>
              <w:fldChar w:fldCharType="end"/>
            </w:r>
          </w:hyperlink>
        </w:p>
        <w:p w:rsidR="00242853" w:rsidRPr="00CD48F9" w:rsidRDefault="003E3A75" w:rsidP="00972E3A">
          <w:pPr>
            <w:pStyle w:val="TOC1"/>
            <w:spacing w:after="120"/>
            <w:rPr>
              <w:lang w:eastAsia="en-US"/>
            </w:rPr>
          </w:pPr>
          <w:hyperlink w:anchor="_Toc3376514" w:history="1">
            <w:r w:rsidR="00242853" w:rsidRPr="00CD48F9">
              <w:rPr>
                <w:rStyle w:val="Hyperlink"/>
              </w:rPr>
              <w:t>3.1. Creșterea transparenței instituționale și a proceselor decizionale (Obiectivul specific 1.1)</w:t>
            </w:r>
            <w:r w:rsidR="00242853" w:rsidRPr="00CD48F9">
              <w:rPr>
                <w:webHidden/>
              </w:rPr>
              <w:tab/>
            </w:r>
            <w:r w:rsidR="00C1111E" w:rsidRPr="00CD48F9">
              <w:rPr>
                <w:webHidden/>
              </w:rPr>
              <w:fldChar w:fldCharType="begin"/>
            </w:r>
            <w:r w:rsidR="00242853" w:rsidRPr="00CD48F9">
              <w:rPr>
                <w:webHidden/>
              </w:rPr>
              <w:instrText xml:space="preserve"> PAGEREF _Toc3376514 \h </w:instrText>
            </w:r>
            <w:r w:rsidR="00C1111E" w:rsidRPr="00CD48F9">
              <w:rPr>
                <w:webHidden/>
              </w:rPr>
            </w:r>
            <w:r w:rsidR="00C1111E" w:rsidRPr="00CD48F9">
              <w:rPr>
                <w:webHidden/>
              </w:rPr>
              <w:fldChar w:fldCharType="separate"/>
            </w:r>
            <w:r w:rsidR="00AB4CE4">
              <w:rPr>
                <w:webHidden/>
              </w:rPr>
              <w:t>12</w:t>
            </w:r>
            <w:r w:rsidR="00C1111E" w:rsidRPr="00CD48F9">
              <w:rPr>
                <w:webHidden/>
              </w:rPr>
              <w:fldChar w:fldCharType="end"/>
            </w:r>
          </w:hyperlink>
        </w:p>
        <w:p w:rsidR="00C470B9" w:rsidRPr="00CD48F9" w:rsidRDefault="00C470B9" w:rsidP="00972E3A">
          <w:pPr>
            <w:pStyle w:val="TOC1"/>
            <w:spacing w:after="120"/>
          </w:pPr>
          <w:r w:rsidRPr="00CD48F9">
            <w:rPr>
              <w:rStyle w:val="Hyperlink"/>
              <w:color w:val="auto"/>
              <w:u w:val="none"/>
            </w:rPr>
            <w:t>3.2. Creșterea transparenței proceselor de administrare a resurselor publice (Obiectiv specific 1.2…………………………………………………………………………………………………………………………….12</w:t>
          </w:r>
        </w:p>
        <w:p w:rsidR="00242853" w:rsidRPr="00CD48F9" w:rsidRDefault="003E3A75" w:rsidP="00972E3A">
          <w:pPr>
            <w:pStyle w:val="TOC1"/>
            <w:spacing w:after="120"/>
            <w:rPr>
              <w:lang w:eastAsia="en-US"/>
            </w:rPr>
          </w:pPr>
          <w:hyperlink w:anchor="_Toc3376515" w:history="1">
            <w:r w:rsidR="00242853" w:rsidRPr="00CD48F9">
              <w:rPr>
                <w:rStyle w:val="Hyperlink"/>
              </w:rPr>
              <w:t>4. Creșterea integrității instituționale prin includerea măsurilor de prevenire a corupţiei ca elemente obligatorii ale planurilor manageriale și evaluarea lor periodică ca parte integrantă a performanței administrative (Obiectivul general 2)</w:t>
            </w:r>
            <w:r w:rsidR="00242853" w:rsidRPr="00CD48F9">
              <w:rPr>
                <w:webHidden/>
              </w:rPr>
              <w:tab/>
            </w:r>
            <w:r w:rsidR="00C1111E" w:rsidRPr="00CD48F9">
              <w:rPr>
                <w:webHidden/>
              </w:rPr>
              <w:fldChar w:fldCharType="begin"/>
            </w:r>
            <w:r w:rsidR="00242853" w:rsidRPr="00CD48F9">
              <w:rPr>
                <w:webHidden/>
              </w:rPr>
              <w:instrText xml:space="preserve"> PAGEREF _Toc3376515 \h </w:instrText>
            </w:r>
            <w:r w:rsidR="00C1111E" w:rsidRPr="00CD48F9">
              <w:rPr>
                <w:webHidden/>
              </w:rPr>
            </w:r>
            <w:r w:rsidR="00C1111E" w:rsidRPr="00CD48F9">
              <w:rPr>
                <w:webHidden/>
              </w:rPr>
              <w:fldChar w:fldCharType="separate"/>
            </w:r>
            <w:r w:rsidR="00AB4CE4">
              <w:rPr>
                <w:webHidden/>
              </w:rPr>
              <w:t>14</w:t>
            </w:r>
            <w:r w:rsidR="00C1111E" w:rsidRPr="00CD48F9">
              <w:rPr>
                <w:webHidden/>
              </w:rPr>
              <w:fldChar w:fldCharType="end"/>
            </w:r>
          </w:hyperlink>
        </w:p>
        <w:p w:rsidR="00242853" w:rsidRPr="00CD48F9" w:rsidRDefault="003E3A75" w:rsidP="00972E3A">
          <w:pPr>
            <w:pStyle w:val="TOC1"/>
            <w:spacing w:after="120"/>
            <w:rPr>
              <w:lang w:eastAsia="en-US"/>
            </w:rPr>
          </w:pPr>
          <w:hyperlink w:anchor="_Toc3376516" w:history="1">
            <w:r w:rsidR="00242853" w:rsidRPr="00CD48F9">
              <w:rPr>
                <w:rStyle w:val="Hyperlink"/>
              </w:rPr>
              <w:t>4.1. Îmbunătățirea capacității de gestionare a eșecului de management prin corelarea instrumentelor administrative care au impact asupra identificării timpurii a riscurilor și vulnerabilităților instituționale (Obiectivul specific 2.1)</w:t>
            </w:r>
            <w:r w:rsidR="00242853" w:rsidRPr="00CD48F9">
              <w:rPr>
                <w:webHidden/>
              </w:rPr>
              <w:tab/>
            </w:r>
            <w:r w:rsidR="00C1111E" w:rsidRPr="00CD48F9">
              <w:rPr>
                <w:webHidden/>
              </w:rPr>
              <w:fldChar w:fldCharType="begin"/>
            </w:r>
            <w:r w:rsidR="00242853" w:rsidRPr="00CD48F9">
              <w:rPr>
                <w:webHidden/>
              </w:rPr>
              <w:instrText xml:space="preserve"> PAGEREF _Toc3376516 \h </w:instrText>
            </w:r>
            <w:r w:rsidR="00C1111E" w:rsidRPr="00CD48F9">
              <w:rPr>
                <w:webHidden/>
              </w:rPr>
            </w:r>
            <w:r w:rsidR="00C1111E" w:rsidRPr="00CD48F9">
              <w:rPr>
                <w:webHidden/>
              </w:rPr>
              <w:fldChar w:fldCharType="separate"/>
            </w:r>
            <w:r w:rsidR="00AB4CE4">
              <w:rPr>
                <w:webHidden/>
              </w:rPr>
              <w:t>14</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0" w:history="1">
            <w:r w:rsidR="00242853" w:rsidRPr="00CD48F9">
              <w:rPr>
                <w:rStyle w:val="Hyperlink"/>
              </w:rPr>
              <w:t>4.2. Creșterea eficienței măsurilor preventive anticorupție prin remedierea lacunelor și a inconsistențelor legislative cu privire la protecția avertizorului de integritate și interdicțiile post-angajare (</w:t>
            </w:r>
            <w:r w:rsidR="00242853" w:rsidRPr="00CD48F9">
              <w:rPr>
                <w:rStyle w:val="Hyperlink"/>
                <w:i/>
              </w:rPr>
              <w:t>pantouflage</w:t>
            </w:r>
            <w:r w:rsidR="00242853" w:rsidRPr="00CD48F9">
              <w:rPr>
                <w:rStyle w:val="Hyperlink"/>
              </w:rPr>
              <w:t>-ul)  (Obiectivul specific 2.2)</w:t>
            </w:r>
            <w:r w:rsidR="00242853" w:rsidRPr="00CD48F9">
              <w:rPr>
                <w:webHidden/>
              </w:rPr>
              <w:tab/>
            </w:r>
            <w:r w:rsidR="00C1111E" w:rsidRPr="00CD48F9">
              <w:rPr>
                <w:webHidden/>
              </w:rPr>
              <w:fldChar w:fldCharType="begin"/>
            </w:r>
            <w:r w:rsidR="00242853" w:rsidRPr="00CD48F9">
              <w:rPr>
                <w:webHidden/>
              </w:rPr>
              <w:instrText xml:space="preserve"> PAGEREF _Toc3376520 \h </w:instrText>
            </w:r>
            <w:r w:rsidR="00C1111E" w:rsidRPr="00CD48F9">
              <w:rPr>
                <w:webHidden/>
              </w:rPr>
            </w:r>
            <w:r w:rsidR="00C1111E" w:rsidRPr="00CD48F9">
              <w:rPr>
                <w:webHidden/>
              </w:rPr>
              <w:fldChar w:fldCharType="separate"/>
            </w:r>
            <w:r w:rsidR="00AB4CE4">
              <w:rPr>
                <w:webHidden/>
              </w:rPr>
              <w:t>16</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1" w:history="1">
            <w:r w:rsidR="00242853" w:rsidRPr="00CD48F9">
              <w:rPr>
                <w:rStyle w:val="Hyperlink"/>
              </w:rPr>
              <w:t>5. Consolidarea integrității, reducerea vulnerabilităților și a riscurilor de corupție în sectoare și domenii de activitate prioritare (Obiectivul general 3)</w:t>
            </w:r>
            <w:r w:rsidR="00242853" w:rsidRPr="00CD48F9">
              <w:rPr>
                <w:webHidden/>
              </w:rPr>
              <w:tab/>
            </w:r>
            <w:r w:rsidR="00C1111E" w:rsidRPr="00CD48F9">
              <w:rPr>
                <w:webHidden/>
              </w:rPr>
              <w:fldChar w:fldCharType="begin"/>
            </w:r>
            <w:r w:rsidR="00242853" w:rsidRPr="00CD48F9">
              <w:rPr>
                <w:webHidden/>
              </w:rPr>
              <w:instrText xml:space="preserve"> PAGEREF _Toc3376521 \h </w:instrText>
            </w:r>
            <w:r w:rsidR="00C1111E" w:rsidRPr="00CD48F9">
              <w:rPr>
                <w:webHidden/>
              </w:rPr>
            </w:r>
            <w:r w:rsidR="00C1111E" w:rsidRPr="00CD48F9">
              <w:rPr>
                <w:webHidden/>
              </w:rPr>
              <w:fldChar w:fldCharType="separate"/>
            </w:r>
            <w:r w:rsidR="00AB4CE4">
              <w:rPr>
                <w:webHidden/>
              </w:rPr>
              <w:t>17</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2" w:history="1">
            <w:r w:rsidR="00242853" w:rsidRPr="00CD48F9">
              <w:rPr>
                <w:rStyle w:val="Hyperlink"/>
              </w:rPr>
              <w:t>5.1. Creșterea integrității, reducerea vulnerabilităților și a riscurilor de corupție în sistemul național de educație (Obiectivul specific 3.1)</w:t>
            </w:r>
            <w:r w:rsidR="00242853" w:rsidRPr="00CD48F9">
              <w:rPr>
                <w:webHidden/>
              </w:rPr>
              <w:tab/>
            </w:r>
            <w:r w:rsidR="00C1111E" w:rsidRPr="00CD48F9">
              <w:rPr>
                <w:webHidden/>
              </w:rPr>
              <w:fldChar w:fldCharType="begin"/>
            </w:r>
            <w:r w:rsidR="00242853" w:rsidRPr="00CD48F9">
              <w:rPr>
                <w:webHidden/>
              </w:rPr>
              <w:instrText xml:space="preserve"> PAGEREF _Toc3376522 \h </w:instrText>
            </w:r>
            <w:r w:rsidR="00C1111E" w:rsidRPr="00CD48F9">
              <w:rPr>
                <w:webHidden/>
              </w:rPr>
            </w:r>
            <w:r w:rsidR="00C1111E" w:rsidRPr="00CD48F9">
              <w:rPr>
                <w:webHidden/>
              </w:rPr>
              <w:fldChar w:fldCharType="separate"/>
            </w:r>
            <w:r w:rsidR="00AB4CE4">
              <w:rPr>
                <w:webHidden/>
              </w:rPr>
              <w:t>17</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3" w:history="1">
            <w:r w:rsidR="00242853" w:rsidRPr="00CD48F9">
              <w:rPr>
                <w:rStyle w:val="Hyperlink"/>
              </w:rPr>
              <w:t>5.2. Creșterea integrității, reducerea vulnerabilităților și a riscurilor de corupție în domeniul achizițiilor publice (Obiectivul specific 3.2)</w:t>
            </w:r>
            <w:r w:rsidR="00242853" w:rsidRPr="00CD48F9">
              <w:rPr>
                <w:webHidden/>
              </w:rPr>
              <w:tab/>
            </w:r>
            <w:r w:rsidR="00C1111E" w:rsidRPr="00CD48F9">
              <w:rPr>
                <w:webHidden/>
              </w:rPr>
              <w:fldChar w:fldCharType="begin"/>
            </w:r>
            <w:r w:rsidR="00242853" w:rsidRPr="00CD48F9">
              <w:rPr>
                <w:webHidden/>
              </w:rPr>
              <w:instrText xml:space="preserve"> PAGEREF _Toc3376523 \h </w:instrText>
            </w:r>
            <w:r w:rsidR="00C1111E" w:rsidRPr="00CD48F9">
              <w:rPr>
                <w:webHidden/>
              </w:rPr>
            </w:r>
            <w:r w:rsidR="00C1111E" w:rsidRPr="00CD48F9">
              <w:rPr>
                <w:webHidden/>
              </w:rPr>
              <w:fldChar w:fldCharType="separate"/>
            </w:r>
            <w:r w:rsidR="00AB4CE4">
              <w:rPr>
                <w:webHidden/>
              </w:rPr>
              <w:t>18</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4" w:history="1">
            <w:r w:rsidR="00242853" w:rsidRPr="00CD48F9">
              <w:rPr>
                <w:rStyle w:val="Hyperlink"/>
              </w:rPr>
              <w:t>5.3. Creșterea integrității, reducerea vulnerabilităților și a riscurilor de corupție în mediul de afaceri (Obiectivul specific 3.3)</w:t>
            </w:r>
            <w:r w:rsidR="00242853" w:rsidRPr="00CD48F9">
              <w:rPr>
                <w:webHidden/>
              </w:rPr>
              <w:tab/>
            </w:r>
            <w:r w:rsidR="00C1111E" w:rsidRPr="00CD48F9">
              <w:rPr>
                <w:webHidden/>
              </w:rPr>
              <w:fldChar w:fldCharType="begin"/>
            </w:r>
            <w:r w:rsidR="00242853" w:rsidRPr="00CD48F9">
              <w:rPr>
                <w:webHidden/>
              </w:rPr>
              <w:instrText xml:space="preserve"> PAGEREF _Toc3376524 \h </w:instrText>
            </w:r>
            <w:r w:rsidR="00C1111E" w:rsidRPr="00CD48F9">
              <w:rPr>
                <w:webHidden/>
              </w:rPr>
            </w:r>
            <w:r w:rsidR="00C1111E" w:rsidRPr="00CD48F9">
              <w:rPr>
                <w:webHidden/>
              </w:rPr>
              <w:fldChar w:fldCharType="separate"/>
            </w:r>
            <w:r w:rsidR="00AB4CE4">
              <w:rPr>
                <w:webHidden/>
              </w:rPr>
              <w:t>19</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5" w:history="1">
            <w:r w:rsidR="00242853" w:rsidRPr="00CD48F9">
              <w:rPr>
                <w:rStyle w:val="Hyperlink"/>
              </w:rPr>
              <w:t>5.4. Creșterea integrității, reducerea vulnerabilităților și a riscurilor de corupție la nivelul instituţiilor publice implicate în buna funcţionare a justiţiei ca serviciu public (Obiectivul specific 3.4)</w:t>
            </w:r>
            <w:r w:rsidR="00242853" w:rsidRPr="00CD48F9">
              <w:rPr>
                <w:webHidden/>
              </w:rPr>
              <w:tab/>
            </w:r>
            <w:r w:rsidR="00C1111E" w:rsidRPr="00CD48F9">
              <w:rPr>
                <w:webHidden/>
              </w:rPr>
              <w:fldChar w:fldCharType="begin"/>
            </w:r>
            <w:r w:rsidR="00242853" w:rsidRPr="00CD48F9">
              <w:rPr>
                <w:webHidden/>
              </w:rPr>
              <w:instrText xml:space="preserve"> PAGEREF _Toc3376525 \h </w:instrText>
            </w:r>
            <w:r w:rsidR="00C1111E" w:rsidRPr="00CD48F9">
              <w:rPr>
                <w:webHidden/>
              </w:rPr>
            </w:r>
            <w:r w:rsidR="00C1111E" w:rsidRPr="00CD48F9">
              <w:rPr>
                <w:webHidden/>
              </w:rPr>
              <w:fldChar w:fldCharType="separate"/>
            </w:r>
            <w:r w:rsidR="00AB4CE4">
              <w:rPr>
                <w:webHidden/>
              </w:rPr>
              <w:t>20</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6" w:history="1">
            <w:r w:rsidR="00242853" w:rsidRPr="00CD48F9">
              <w:rPr>
                <w:rStyle w:val="Hyperlink"/>
              </w:rPr>
              <w:t>6. Creşterea gradului de cunoaştere şi înţelegere a standardelor de integritate de către angajaţi şi beneficiarii serviciilor publice (Obiectivul general 4)</w:t>
            </w:r>
            <w:r w:rsidR="00242853" w:rsidRPr="00CD48F9">
              <w:rPr>
                <w:webHidden/>
              </w:rPr>
              <w:tab/>
            </w:r>
            <w:r w:rsidR="00C1111E" w:rsidRPr="00CD48F9">
              <w:rPr>
                <w:webHidden/>
              </w:rPr>
              <w:fldChar w:fldCharType="begin"/>
            </w:r>
            <w:r w:rsidR="00242853" w:rsidRPr="00CD48F9">
              <w:rPr>
                <w:webHidden/>
              </w:rPr>
              <w:instrText xml:space="preserve"> PAGEREF _Toc3376526 \h </w:instrText>
            </w:r>
            <w:r w:rsidR="00C1111E" w:rsidRPr="00CD48F9">
              <w:rPr>
                <w:webHidden/>
              </w:rPr>
            </w:r>
            <w:r w:rsidR="00C1111E" w:rsidRPr="00CD48F9">
              <w:rPr>
                <w:webHidden/>
              </w:rPr>
              <w:fldChar w:fldCharType="separate"/>
            </w:r>
            <w:r w:rsidR="00AB4CE4">
              <w:rPr>
                <w:webHidden/>
              </w:rPr>
              <w:t>21</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7" w:history="1">
            <w:r w:rsidR="00242853" w:rsidRPr="00CD48F9">
              <w:rPr>
                <w:rStyle w:val="Hyperlink"/>
              </w:rPr>
              <w:t>6.1. Creșterea gradului de educaţie anticorupţie a personalului din cadrul autorităţilor şi instituţiilor publice de la nivel central (Obiectivul specific 4.1)</w:t>
            </w:r>
            <w:r w:rsidR="00242853" w:rsidRPr="00CD48F9">
              <w:rPr>
                <w:webHidden/>
              </w:rPr>
              <w:tab/>
            </w:r>
            <w:r w:rsidR="00C1111E" w:rsidRPr="00CD48F9">
              <w:rPr>
                <w:webHidden/>
              </w:rPr>
              <w:fldChar w:fldCharType="begin"/>
            </w:r>
            <w:r w:rsidR="00242853" w:rsidRPr="00CD48F9">
              <w:rPr>
                <w:webHidden/>
              </w:rPr>
              <w:instrText xml:space="preserve"> PAGEREF _Toc3376527 \h </w:instrText>
            </w:r>
            <w:r w:rsidR="00C1111E" w:rsidRPr="00CD48F9">
              <w:rPr>
                <w:webHidden/>
              </w:rPr>
            </w:r>
            <w:r w:rsidR="00C1111E" w:rsidRPr="00CD48F9">
              <w:rPr>
                <w:webHidden/>
              </w:rPr>
              <w:fldChar w:fldCharType="separate"/>
            </w:r>
            <w:r w:rsidR="00AB4CE4">
              <w:rPr>
                <w:webHidden/>
              </w:rPr>
              <w:t>21</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8" w:history="1">
            <w:r w:rsidR="00242853" w:rsidRPr="00CD48F9">
              <w:rPr>
                <w:rStyle w:val="Hyperlink"/>
              </w:rPr>
              <w:t>6.2. Creşterea gradului de informare a publicului cu privire la impactul fenomenului corupţiei (Obiectivul specific 4.2)</w:t>
            </w:r>
            <w:r w:rsidR="00242853" w:rsidRPr="00CD48F9">
              <w:rPr>
                <w:webHidden/>
              </w:rPr>
              <w:tab/>
            </w:r>
            <w:r w:rsidR="00C1111E" w:rsidRPr="00CD48F9">
              <w:rPr>
                <w:webHidden/>
              </w:rPr>
              <w:fldChar w:fldCharType="begin"/>
            </w:r>
            <w:r w:rsidR="00242853" w:rsidRPr="00CD48F9">
              <w:rPr>
                <w:webHidden/>
              </w:rPr>
              <w:instrText xml:space="preserve"> PAGEREF _Toc3376528 \h </w:instrText>
            </w:r>
            <w:r w:rsidR="00C1111E" w:rsidRPr="00CD48F9">
              <w:rPr>
                <w:webHidden/>
              </w:rPr>
            </w:r>
            <w:r w:rsidR="00C1111E" w:rsidRPr="00CD48F9">
              <w:rPr>
                <w:webHidden/>
              </w:rPr>
              <w:fldChar w:fldCharType="separate"/>
            </w:r>
            <w:r w:rsidR="00AB4CE4">
              <w:rPr>
                <w:webHidden/>
              </w:rPr>
              <w:t>22</w:t>
            </w:r>
            <w:r w:rsidR="00C1111E" w:rsidRPr="00CD48F9">
              <w:rPr>
                <w:webHidden/>
              </w:rPr>
              <w:fldChar w:fldCharType="end"/>
            </w:r>
          </w:hyperlink>
        </w:p>
        <w:p w:rsidR="00242853" w:rsidRPr="00CD48F9" w:rsidRDefault="003E3A75" w:rsidP="00972E3A">
          <w:pPr>
            <w:pStyle w:val="TOC1"/>
            <w:spacing w:after="120"/>
            <w:rPr>
              <w:lang w:eastAsia="en-US"/>
            </w:rPr>
          </w:pPr>
          <w:hyperlink w:anchor="_Toc3376529" w:history="1">
            <w:r w:rsidR="00242853" w:rsidRPr="00CD48F9">
              <w:rPr>
                <w:rStyle w:val="Hyperlink"/>
              </w:rPr>
              <w:t>7. Consolidarea performanţei de combatere a corupţiei prin mijloace penale şi adm</w:t>
            </w:r>
            <w:r w:rsidR="00D5211C" w:rsidRPr="00CD48F9">
              <w:rPr>
                <w:rStyle w:val="Hyperlink"/>
              </w:rPr>
              <w:t xml:space="preserve">inistrative (Obiectivul general </w:t>
            </w:r>
            <w:r w:rsidR="00242853" w:rsidRPr="00CD48F9">
              <w:rPr>
                <w:rStyle w:val="Hyperlink"/>
              </w:rPr>
              <w:t>5)</w:t>
            </w:r>
            <w:r w:rsidR="00CD13C3" w:rsidRPr="00CD48F9">
              <w:rPr>
                <w:webHidden/>
              </w:rPr>
              <w:t>……………………………………………………………………………………</w:t>
            </w:r>
            <w:r w:rsidR="00C1111E" w:rsidRPr="00CD48F9">
              <w:rPr>
                <w:webHidden/>
              </w:rPr>
              <w:fldChar w:fldCharType="begin"/>
            </w:r>
            <w:r w:rsidR="00242853" w:rsidRPr="00CD48F9">
              <w:rPr>
                <w:webHidden/>
              </w:rPr>
              <w:instrText xml:space="preserve"> PAGEREF _Toc3376529 \h </w:instrText>
            </w:r>
            <w:r w:rsidR="00C1111E" w:rsidRPr="00CD48F9">
              <w:rPr>
                <w:webHidden/>
              </w:rPr>
            </w:r>
            <w:r w:rsidR="00C1111E" w:rsidRPr="00CD48F9">
              <w:rPr>
                <w:webHidden/>
              </w:rPr>
              <w:fldChar w:fldCharType="separate"/>
            </w:r>
            <w:r w:rsidR="00AB4CE4">
              <w:rPr>
                <w:webHidden/>
              </w:rPr>
              <w:t>22</w:t>
            </w:r>
            <w:r w:rsidR="00C1111E" w:rsidRPr="00CD48F9">
              <w:rPr>
                <w:webHidden/>
              </w:rPr>
              <w:fldChar w:fldCharType="end"/>
            </w:r>
          </w:hyperlink>
        </w:p>
        <w:p w:rsidR="00242853" w:rsidRPr="00CD48F9" w:rsidRDefault="003E3A75" w:rsidP="00972E3A">
          <w:pPr>
            <w:pStyle w:val="TOC1"/>
            <w:spacing w:after="120"/>
            <w:rPr>
              <w:lang w:eastAsia="en-US"/>
            </w:rPr>
          </w:pPr>
          <w:hyperlink w:anchor="_Toc3376530" w:history="1">
            <w:r w:rsidR="00242853" w:rsidRPr="00CD48F9">
              <w:rPr>
                <w:rStyle w:val="Hyperlink"/>
              </w:rPr>
              <w:t>7.1. Consolidarea mecanismelor de control administrativ (Obiectivul specific 5.1)</w:t>
            </w:r>
            <w:r w:rsidR="00CD13C3" w:rsidRPr="00CD48F9">
              <w:rPr>
                <w:webHidden/>
              </w:rPr>
              <w:t>………….</w:t>
            </w:r>
            <w:r w:rsidR="00C1111E" w:rsidRPr="00CD48F9">
              <w:rPr>
                <w:webHidden/>
              </w:rPr>
              <w:fldChar w:fldCharType="begin"/>
            </w:r>
            <w:r w:rsidR="00242853" w:rsidRPr="00CD48F9">
              <w:rPr>
                <w:webHidden/>
              </w:rPr>
              <w:instrText xml:space="preserve"> PAGEREF _Toc3376530 \h </w:instrText>
            </w:r>
            <w:r w:rsidR="00C1111E" w:rsidRPr="00CD48F9">
              <w:rPr>
                <w:webHidden/>
              </w:rPr>
            </w:r>
            <w:r w:rsidR="00C1111E" w:rsidRPr="00CD48F9">
              <w:rPr>
                <w:webHidden/>
              </w:rPr>
              <w:fldChar w:fldCharType="separate"/>
            </w:r>
            <w:r w:rsidR="00AB4CE4">
              <w:rPr>
                <w:webHidden/>
              </w:rPr>
              <w:t>22</w:t>
            </w:r>
            <w:r w:rsidR="00C1111E" w:rsidRPr="00CD48F9">
              <w:rPr>
                <w:webHidden/>
              </w:rPr>
              <w:fldChar w:fldCharType="end"/>
            </w:r>
          </w:hyperlink>
        </w:p>
        <w:p w:rsidR="00242853" w:rsidRPr="00CD48F9" w:rsidRDefault="003E3A75" w:rsidP="00972E3A">
          <w:pPr>
            <w:pStyle w:val="TOC1"/>
            <w:spacing w:after="120"/>
          </w:pPr>
          <w:hyperlink w:anchor="_Toc3376531" w:history="1">
            <w:r w:rsidR="00242853" w:rsidRPr="00CD48F9">
              <w:rPr>
                <w:rStyle w:val="Hyperlink"/>
              </w:rPr>
              <w:t>7.2. Creşterea gradului de recuperare a produselor infracţiunilor urmând cele mai bune practici din alte state membre UE şi consolidarea practicii judiciare (Obiectivul specific 5.2)</w:t>
            </w:r>
            <w:r w:rsidR="00CD13C3" w:rsidRPr="00CD48F9">
              <w:rPr>
                <w:webHidden/>
              </w:rPr>
              <w:t>………………………………………………………………………………………………………………………………………..</w:t>
            </w:r>
            <w:r w:rsidR="00C1111E" w:rsidRPr="00CD48F9">
              <w:rPr>
                <w:webHidden/>
              </w:rPr>
              <w:fldChar w:fldCharType="begin"/>
            </w:r>
            <w:r w:rsidR="00242853" w:rsidRPr="00CD48F9">
              <w:rPr>
                <w:webHidden/>
              </w:rPr>
              <w:instrText xml:space="preserve"> PAGEREF _Toc3376531 \h </w:instrText>
            </w:r>
            <w:r w:rsidR="00C1111E" w:rsidRPr="00CD48F9">
              <w:rPr>
                <w:webHidden/>
              </w:rPr>
            </w:r>
            <w:r w:rsidR="00C1111E" w:rsidRPr="00CD48F9">
              <w:rPr>
                <w:webHidden/>
              </w:rPr>
              <w:fldChar w:fldCharType="separate"/>
            </w:r>
            <w:r w:rsidR="00AB4CE4">
              <w:rPr>
                <w:webHidden/>
              </w:rPr>
              <w:t>24</w:t>
            </w:r>
            <w:r w:rsidR="00C1111E" w:rsidRPr="00CD48F9">
              <w:rPr>
                <w:webHidden/>
              </w:rPr>
              <w:fldChar w:fldCharType="end"/>
            </w:r>
          </w:hyperlink>
        </w:p>
        <w:p w:rsidR="009317B7" w:rsidRPr="00CD48F9" w:rsidRDefault="009317B7" w:rsidP="00972E3A">
          <w:pPr>
            <w:spacing w:after="120" w:line="276" w:lineRule="auto"/>
            <w:rPr>
              <w:lang w:val="ro-RO"/>
            </w:rPr>
          </w:pPr>
          <w:r w:rsidRPr="00CD48F9">
            <w:rPr>
              <w:lang w:val="ro-RO" w:eastAsia="ja-JP"/>
            </w:rPr>
            <w:t xml:space="preserve">8. </w:t>
          </w:r>
          <w:r w:rsidRPr="00CD48F9">
            <w:rPr>
              <w:lang w:val="ro-RO"/>
            </w:rPr>
            <w:t>Coordonarea monitorizării SNA 2016-2020 (Obiectiv general 6)……………</w:t>
          </w:r>
          <w:r w:rsidR="00CD13C3" w:rsidRPr="00CD48F9">
            <w:rPr>
              <w:lang w:val="ro-RO"/>
            </w:rPr>
            <w:t>……………………….</w:t>
          </w:r>
          <w:r w:rsidRPr="00CD48F9">
            <w:rPr>
              <w:lang w:val="ro-RO"/>
            </w:rPr>
            <w:t>2</w:t>
          </w:r>
          <w:r w:rsidR="00D5211C" w:rsidRPr="00CD48F9">
            <w:rPr>
              <w:lang w:val="ro-RO"/>
            </w:rPr>
            <w:t>7</w:t>
          </w:r>
        </w:p>
        <w:p w:rsidR="00242853" w:rsidRPr="00CD48F9" w:rsidRDefault="003E3A75" w:rsidP="00972E3A">
          <w:pPr>
            <w:pStyle w:val="TOC1"/>
            <w:spacing w:after="120"/>
            <w:rPr>
              <w:lang w:eastAsia="en-US"/>
            </w:rPr>
          </w:pPr>
          <w:hyperlink w:anchor="_Toc3376534" w:history="1">
            <w:r w:rsidR="00242853" w:rsidRPr="00CD48F9">
              <w:rPr>
                <w:rStyle w:val="Hyperlink"/>
              </w:rPr>
              <w:t xml:space="preserve">9. </w:t>
            </w:r>
            <w:r w:rsidR="00242853" w:rsidRPr="00CD48F9">
              <w:rPr>
                <w:rStyle w:val="Hyperlink"/>
                <w:rFonts w:eastAsia="MS Mincho"/>
              </w:rPr>
              <w:t>Situația incidentelor</w:t>
            </w:r>
            <w:r w:rsidR="00BF36FD" w:rsidRPr="00CD48F9">
              <w:rPr>
                <w:rStyle w:val="Hyperlink"/>
                <w:rFonts w:eastAsia="MS Mincho"/>
              </w:rPr>
              <w:t xml:space="preserve"> de integritate pentru anul 2019</w:t>
            </w:r>
            <w:r w:rsidR="00242853" w:rsidRPr="00CD48F9">
              <w:rPr>
                <w:rStyle w:val="Hyperlink"/>
                <w:rFonts w:eastAsia="MS Mincho"/>
              </w:rPr>
              <w:t xml:space="preserve"> și măsurile adoptate pentru remedierea aspectelor care au favorizat producerea incidentului</w:t>
            </w:r>
            <w:r w:rsidR="00CD13C3" w:rsidRPr="00CD48F9">
              <w:rPr>
                <w:webHidden/>
              </w:rPr>
              <w:t>…………………………………….</w:t>
            </w:r>
          </w:hyperlink>
          <w:r w:rsidR="00D5211C" w:rsidRPr="00CD48F9">
            <w:t>2</w:t>
          </w:r>
          <w:r w:rsidR="00333138" w:rsidRPr="00CD48F9">
            <w:t>7</w:t>
          </w:r>
        </w:p>
        <w:p w:rsidR="00242853" w:rsidRPr="00CD48F9" w:rsidRDefault="003E3A75" w:rsidP="00972E3A">
          <w:pPr>
            <w:pStyle w:val="TOC1"/>
            <w:spacing w:after="120"/>
            <w:rPr>
              <w:lang w:eastAsia="en-US"/>
            </w:rPr>
          </w:pPr>
          <w:hyperlink w:anchor="_Toc3376535" w:history="1">
            <w:r w:rsidR="00443BA8" w:rsidRPr="00CD48F9">
              <w:rPr>
                <w:rStyle w:val="Hyperlink"/>
              </w:rPr>
              <w:t>10. Implementarea, în anul 2019</w:t>
            </w:r>
            <w:r w:rsidR="00242853" w:rsidRPr="00CD48F9">
              <w:rPr>
                <w:rStyle w:val="Hyperlink"/>
              </w:rPr>
              <w:t>, a măsurilor prevăzute în planurile de integritate ale structurilor subordonate ministerului justiției</w:t>
            </w:r>
          </w:hyperlink>
          <w:r w:rsidR="00CD13C3" w:rsidRPr="00CD48F9">
            <w:t>…………………………………………………………………</w:t>
          </w:r>
          <w:r w:rsidR="00740BE5" w:rsidRPr="00CD48F9">
            <w:t>…</w:t>
          </w:r>
          <w:r w:rsidR="00CD13C3" w:rsidRPr="00CD48F9">
            <w:t>.</w:t>
          </w:r>
          <w:r w:rsidR="00D5211C" w:rsidRPr="00CD48F9">
            <w:t>28</w:t>
          </w:r>
        </w:p>
        <w:p w:rsidR="00242853" w:rsidRPr="00CD48F9" w:rsidRDefault="003E3A75" w:rsidP="00972E3A">
          <w:pPr>
            <w:pStyle w:val="TOC1"/>
            <w:spacing w:after="120"/>
            <w:rPr>
              <w:lang w:eastAsia="en-US"/>
            </w:rPr>
          </w:pPr>
          <w:hyperlink w:anchor="_Toc3376536" w:history="1">
            <w:r w:rsidR="00CD13C3" w:rsidRPr="00CD48F9">
              <w:rPr>
                <w:rStyle w:val="Hyperlink"/>
              </w:rPr>
              <w:t>11.</w:t>
            </w:r>
            <w:r w:rsidR="00E41A73" w:rsidRPr="00CD48F9">
              <w:rPr>
                <w:rStyle w:val="Hyperlink"/>
              </w:rPr>
              <w:t xml:space="preserve"> </w:t>
            </w:r>
            <w:r w:rsidR="00242853" w:rsidRPr="00CD48F9">
              <w:rPr>
                <w:rStyle w:val="Hyperlink"/>
                <w:rFonts w:eastAsia="MS Mincho"/>
              </w:rPr>
              <w:t>Anex</w:t>
            </w:r>
            <w:r w:rsidR="00FD41D7" w:rsidRPr="00CD48F9">
              <w:rPr>
                <w:rStyle w:val="Hyperlink"/>
                <w:rFonts w:eastAsia="MS Mincho"/>
              </w:rPr>
              <w:t>ă</w:t>
            </w:r>
            <w:r w:rsidR="00CD13C3" w:rsidRPr="00CD48F9">
              <w:rPr>
                <w:webHidden/>
              </w:rPr>
              <w:t>……………………………………………………………………………………………………………………………</w:t>
            </w:r>
            <w:r w:rsidR="00324471" w:rsidRPr="00CD48F9">
              <w:rPr>
                <w:webHidden/>
              </w:rPr>
              <w:t>….3</w:t>
            </w:r>
            <w:r w:rsidR="00FD41D7" w:rsidRPr="00CD48F9">
              <w:rPr>
                <w:webHidden/>
              </w:rPr>
              <w:t>2</w:t>
            </w:r>
          </w:hyperlink>
        </w:p>
        <w:p w:rsidR="00242853" w:rsidRPr="00CD48F9" w:rsidRDefault="00C1111E" w:rsidP="00972E3A">
          <w:pPr>
            <w:spacing w:after="120" w:line="276" w:lineRule="auto"/>
            <w:rPr>
              <w:lang w:val="ro-RO"/>
            </w:rPr>
          </w:pPr>
          <w:r w:rsidRPr="00CD48F9">
            <w:rPr>
              <w:b/>
              <w:bCs/>
              <w:noProof/>
              <w:lang w:val="ro-RO"/>
            </w:rPr>
            <w:fldChar w:fldCharType="end"/>
          </w:r>
        </w:p>
      </w:sdtContent>
    </w:sdt>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1F5EF3" w:rsidRPr="00CD48F9" w:rsidRDefault="001F5EF3"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300E3A" w:rsidRPr="00CD48F9" w:rsidRDefault="00300E3A" w:rsidP="00972E3A">
      <w:pPr>
        <w:spacing w:after="120" w:line="276" w:lineRule="auto"/>
        <w:rPr>
          <w:b/>
          <w:lang w:val="ro-RO"/>
        </w:rPr>
      </w:pPr>
    </w:p>
    <w:p w:rsidR="00242853" w:rsidRPr="00CD48F9" w:rsidRDefault="00242853" w:rsidP="00972E3A">
      <w:pPr>
        <w:spacing w:after="120" w:line="276" w:lineRule="auto"/>
        <w:rPr>
          <w:b/>
          <w:lang w:val="ro-RO"/>
        </w:rPr>
      </w:pPr>
    </w:p>
    <w:p w:rsidR="00242853" w:rsidRPr="00CD48F9" w:rsidRDefault="00242853" w:rsidP="00972E3A">
      <w:pPr>
        <w:spacing w:after="120" w:line="276" w:lineRule="auto"/>
        <w:rPr>
          <w:b/>
          <w:lang w:val="ro-RO"/>
        </w:rPr>
      </w:pPr>
    </w:p>
    <w:p w:rsidR="00242853" w:rsidRPr="00CD48F9" w:rsidRDefault="00242853" w:rsidP="00972E3A">
      <w:pPr>
        <w:spacing w:after="120" w:line="276" w:lineRule="auto"/>
        <w:rPr>
          <w:b/>
          <w:lang w:val="ro-RO"/>
        </w:rPr>
      </w:pPr>
    </w:p>
    <w:p w:rsidR="00242853" w:rsidRPr="00CD48F9" w:rsidRDefault="00242853" w:rsidP="00972E3A">
      <w:pPr>
        <w:spacing w:after="120" w:line="276" w:lineRule="auto"/>
        <w:rPr>
          <w:b/>
          <w:lang w:val="ro-RO"/>
        </w:rPr>
      </w:pPr>
    </w:p>
    <w:p w:rsidR="00242853" w:rsidRPr="00CD48F9" w:rsidRDefault="00242853" w:rsidP="00972E3A">
      <w:pPr>
        <w:spacing w:after="120" w:line="276" w:lineRule="auto"/>
        <w:rPr>
          <w:b/>
          <w:lang w:val="ro-RO"/>
        </w:rPr>
      </w:pPr>
    </w:p>
    <w:p w:rsidR="00242853" w:rsidRPr="00CD48F9" w:rsidRDefault="00242853" w:rsidP="00972E3A">
      <w:pPr>
        <w:spacing w:after="120" w:line="276" w:lineRule="auto"/>
        <w:rPr>
          <w:b/>
          <w:lang w:val="ro-RO"/>
        </w:rPr>
      </w:pPr>
    </w:p>
    <w:p w:rsidR="00D5211C" w:rsidRPr="00CD48F9" w:rsidRDefault="00D5211C" w:rsidP="00972E3A">
      <w:pPr>
        <w:spacing w:after="120" w:line="276" w:lineRule="auto"/>
        <w:rPr>
          <w:b/>
          <w:lang w:val="ro-RO"/>
        </w:rPr>
      </w:pPr>
    </w:p>
    <w:p w:rsidR="00131D9F" w:rsidRPr="00CD48F9" w:rsidRDefault="00131D9F" w:rsidP="00972E3A">
      <w:pPr>
        <w:spacing w:after="120" w:line="276" w:lineRule="auto"/>
        <w:rPr>
          <w:b/>
          <w:lang w:val="ro-RO"/>
        </w:rPr>
      </w:pPr>
    </w:p>
    <w:p w:rsidR="009462A6" w:rsidRPr="00CD48F9" w:rsidRDefault="009462A6" w:rsidP="00972E3A">
      <w:pPr>
        <w:spacing w:after="120" w:line="276" w:lineRule="auto"/>
        <w:rPr>
          <w:b/>
          <w:lang w:val="ro-RO"/>
        </w:rPr>
      </w:pPr>
    </w:p>
    <w:p w:rsidR="00CB03C6" w:rsidRPr="00CD48F9" w:rsidRDefault="00CB03C6" w:rsidP="00972E3A">
      <w:pPr>
        <w:pStyle w:val="Title"/>
        <w:spacing w:before="0" w:after="120" w:line="276" w:lineRule="auto"/>
        <w:jc w:val="both"/>
        <w:rPr>
          <w:rFonts w:ascii="Trebuchet MS" w:hAnsi="Trebuchet MS"/>
          <w:sz w:val="22"/>
          <w:szCs w:val="22"/>
          <w:lang w:val="ro-RO"/>
        </w:rPr>
      </w:pPr>
      <w:bookmarkStart w:id="1" w:name="_Toc3376504"/>
      <w:r w:rsidRPr="00CD48F9">
        <w:rPr>
          <w:rFonts w:ascii="Trebuchet MS" w:hAnsi="Trebuchet MS"/>
          <w:sz w:val="22"/>
          <w:szCs w:val="22"/>
          <w:lang w:val="ro-RO"/>
        </w:rPr>
        <w:lastRenderedPageBreak/>
        <w:t>1. Introducere</w:t>
      </w:r>
      <w:bookmarkEnd w:id="1"/>
    </w:p>
    <w:p w:rsidR="00CB03C6" w:rsidRPr="00CD48F9" w:rsidRDefault="008F30E0" w:rsidP="00972E3A">
      <w:pPr>
        <w:spacing w:after="120" w:line="276" w:lineRule="auto"/>
        <w:rPr>
          <w:lang w:val="ro-RO"/>
        </w:rPr>
      </w:pPr>
      <w:r w:rsidRPr="00CD48F9">
        <w:rPr>
          <w:lang w:val="ro-RO"/>
        </w:rPr>
        <w:t>La data de 10</w:t>
      </w:r>
      <w:r w:rsidR="00FA640C" w:rsidRPr="00CD48F9">
        <w:rPr>
          <w:lang w:val="ro-RO"/>
        </w:rPr>
        <w:t xml:space="preserve"> august 2016, </w:t>
      </w:r>
      <w:r w:rsidR="00CB03C6" w:rsidRPr="00CD48F9">
        <w:rPr>
          <w:lang w:val="ro-RO"/>
        </w:rPr>
        <w:t xml:space="preserve">Guvernul României a aprobat Strategia </w:t>
      </w:r>
      <w:proofErr w:type="spellStart"/>
      <w:r w:rsidR="00CB03C6" w:rsidRPr="00CD48F9">
        <w:rPr>
          <w:lang w:val="ro-RO"/>
        </w:rPr>
        <w:t>naţională</w:t>
      </w:r>
      <w:proofErr w:type="spellEnd"/>
      <w:r w:rsidR="00CB03C6" w:rsidRPr="00CD48F9">
        <w:rPr>
          <w:lang w:val="ro-RO"/>
        </w:rPr>
        <w:t xml:space="preserve"> </w:t>
      </w:r>
      <w:proofErr w:type="spellStart"/>
      <w:r w:rsidR="00CB03C6" w:rsidRPr="00CD48F9">
        <w:rPr>
          <w:lang w:val="ro-RO"/>
        </w:rPr>
        <w:t>anticorupţie</w:t>
      </w:r>
      <w:proofErr w:type="spellEnd"/>
      <w:r w:rsidR="00CB03C6" w:rsidRPr="00CD48F9">
        <w:rPr>
          <w:lang w:val="ro-RO"/>
        </w:rPr>
        <w:t xml:space="preserve"> (SNA) pentru perioada 2016 – 2020 prin Hotărârea</w:t>
      </w:r>
      <w:r w:rsidR="00666CF0" w:rsidRPr="00CD48F9">
        <w:rPr>
          <w:lang w:val="ro-RO"/>
        </w:rPr>
        <w:t xml:space="preserve"> Guvernului</w:t>
      </w:r>
      <w:r w:rsidR="00CB03C6" w:rsidRPr="00CD48F9">
        <w:rPr>
          <w:lang w:val="ro-RO"/>
        </w:rPr>
        <w:t xml:space="preserve"> nr. 583/2016</w:t>
      </w:r>
      <w:r w:rsidR="00D03DC6" w:rsidRPr="00CD48F9">
        <w:rPr>
          <w:rStyle w:val="FootnoteReference"/>
          <w:lang w:val="ro-RO"/>
        </w:rPr>
        <w:footnoteReference w:id="1"/>
      </w:r>
      <w:r w:rsidR="00CB03C6" w:rsidRPr="00CD48F9">
        <w:rPr>
          <w:lang w:val="ro-RO"/>
        </w:rPr>
        <w:t xml:space="preserve">, documentul incluzând seturile de indicatori de </w:t>
      </w:r>
      <w:proofErr w:type="spellStart"/>
      <w:r w:rsidR="00CB03C6" w:rsidRPr="00CD48F9">
        <w:rPr>
          <w:lang w:val="ro-RO"/>
        </w:rPr>
        <w:t>performanţă</w:t>
      </w:r>
      <w:proofErr w:type="spellEnd"/>
      <w:r w:rsidR="00AB4CE4">
        <w:rPr>
          <w:lang w:val="ro-RO"/>
        </w:rPr>
        <w:t>,</w:t>
      </w:r>
      <w:r w:rsidR="00CB03C6" w:rsidRPr="00CD48F9">
        <w:rPr>
          <w:lang w:val="ro-RO"/>
        </w:rPr>
        <w:t xml:space="preserve"> riscuri</w:t>
      </w:r>
      <w:r w:rsidR="00AB4CE4">
        <w:rPr>
          <w:lang w:val="ro-RO"/>
        </w:rPr>
        <w:t>le</w:t>
      </w:r>
      <w:r w:rsidR="00CB03C6" w:rsidRPr="00CD48F9">
        <w:rPr>
          <w:lang w:val="ro-RO"/>
        </w:rPr>
        <w:t xml:space="preserve"> asociate obiectivelor </w:t>
      </w:r>
      <w:proofErr w:type="spellStart"/>
      <w:r w:rsidR="00CB03C6" w:rsidRPr="00CD48F9">
        <w:rPr>
          <w:lang w:val="ro-RO"/>
        </w:rPr>
        <w:t>şi</w:t>
      </w:r>
      <w:proofErr w:type="spellEnd"/>
      <w:r w:rsidR="00CB03C6" w:rsidRPr="00CD48F9">
        <w:rPr>
          <w:lang w:val="ro-RO"/>
        </w:rPr>
        <w:t xml:space="preserve"> măsurilor din strategie</w:t>
      </w:r>
      <w:r w:rsidR="00AB4CE4">
        <w:rPr>
          <w:lang w:val="ro-RO"/>
        </w:rPr>
        <w:t>,</w:t>
      </w:r>
      <w:r w:rsidR="00CB03C6" w:rsidRPr="00CD48F9">
        <w:rPr>
          <w:lang w:val="ro-RO"/>
        </w:rPr>
        <w:t xml:space="preserve"> surse</w:t>
      </w:r>
      <w:r w:rsidR="00AB4CE4">
        <w:rPr>
          <w:lang w:val="ro-RO"/>
        </w:rPr>
        <w:t>le</w:t>
      </w:r>
      <w:r w:rsidR="00CB03C6" w:rsidRPr="00CD48F9">
        <w:rPr>
          <w:lang w:val="ro-RO"/>
        </w:rPr>
        <w:t xml:space="preserve"> de verificare, inventaru</w:t>
      </w:r>
      <w:r w:rsidR="00AB4CE4">
        <w:rPr>
          <w:lang w:val="ro-RO"/>
        </w:rPr>
        <w:t>l</w:t>
      </w:r>
      <w:r w:rsidR="00CB03C6" w:rsidRPr="00CD48F9">
        <w:rPr>
          <w:lang w:val="ro-RO"/>
        </w:rPr>
        <w:t xml:space="preserve"> măsurilor de </w:t>
      </w:r>
      <w:proofErr w:type="spellStart"/>
      <w:r w:rsidR="00CB03C6" w:rsidRPr="00CD48F9">
        <w:rPr>
          <w:lang w:val="ro-RO"/>
        </w:rPr>
        <w:t>transparenţă</w:t>
      </w:r>
      <w:proofErr w:type="spellEnd"/>
      <w:r w:rsidR="00CB03C6" w:rsidRPr="00CD48F9">
        <w:rPr>
          <w:lang w:val="ro-RO"/>
        </w:rPr>
        <w:t xml:space="preserve"> </w:t>
      </w:r>
      <w:proofErr w:type="spellStart"/>
      <w:r w:rsidR="00CB03C6" w:rsidRPr="00CD48F9">
        <w:rPr>
          <w:lang w:val="ro-RO"/>
        </w:rPr>
        <w:t>instituţională</w:t>
      </w:r>
      <w:proofErr w:type="spellEnd"/>
      <w:r w:rsidR="00CB03C6" w:rsidRPr="00CD48F9">
        <w:rPr>
          <w:lang w:val="ro-RO"/>
        </w:rPr>
        <w:t xml:space="preserve"> </w:t>
      </w:r>
      <w:proofErr w:type="spellStart"/>
      <w:r w:rsidR="00CB03C6" w:rsidRPr="00CD48F9">
        <w:rPr>
          <w:lang w:val="ro-RO"/>
        </w:rPr>
        <w:t>şi</w:t>
      </w:r>
      <w:proofErr w:type="spellEnd"/>
      <w:r w:rsidR="00CB03C6" w:rsidRPr="00CD48F9">
        <w:rPr>
          <w:lang w:val="ro-RO"/>
        </w:rPr>
        <w:t xml:space="preserve"> de prevenire a </w:t>
      </w:r>
      <w:proofErr w:type="spellStart"/>
      <w:r w:rsidR="00CB03C6" w:rsidRPr="00CD48F9">
        <w:rPr>
          <w:lang w:val="ro-RO"/>
        </w:rPr>
        <w:t>corupţiei</w:t>
      </w:r>
      <w:proofErr w:type="spellEnd"/>
      <w:r w:rsidR="00CB03C6" w:rsidRPr="00CD48F9">
        <w:rPr>
          <w:lang w:val="ro-RO"/>
        </w:rPr>
        <w:t>, indicatori</w:t>
      </w:r>
      <w:r w:rsidR="00AB4CE4">
        <w:rPr>
          <w:lang w:val="ro-RO"/>
        </w:rPr>
        <w:t>i</w:t>
      </w:r>
      <w:r w:rsidR="00CB03C6" w:rsidRPr="00CD48F9">
        <w:rPr>
          <w:lang w:val="ro-RO"/>
        </w:rPr>
        <w:t xml:space="preserve"> de evaluare, precum </w:t>
      </w:r>
      <w:proofErr w:type="spellStart"/>
      <w:r w:rsidR="00CB03C6" w:rsidRPr="00CD48F9">
        <w:rPr>
          <w:lang w:val="ro-RO"/>
        </w:rPr>
        <w:t>şi</w:t>
      </w:r>
      <w:proofErr w:type="spellEnd"/>
      <w:r w:rsidR="00CB03C6" w:rsidRPr="00CD48F9">
        <w:rPr>
          <w:lang w:val="ro-RO"/>
        </w:rPr>
        <w:t xml:space="preserve"> standarde</w:t>
      </w:r>
      <w:r w:rsidR="00AB4CE4">
        <w:rPr>
          <w:lang w:val="ro-RO"/>
        </w:rPr>
        <w:t>le</w:t>
      </w:r>
      <w:r w:rsidR="00CB03C6" w:rsidRPr="00CD48F9">
        <w:rPr>
          <w:lang w:val="ro-RO"/>
        </w:rPr>
        <w:t xml:space="preserve"> de publicare a </w:t>
      </w:r>
      <w:proofErr w:type="spellStart"/>
      <w:r w:rsidR="00CB03C6" w:rsidRPr="00CD48F9">
        <w:rPr>
          <w:lang w:val="ro-RO"/>
        </w:rPr>
        <w:t>informaţiilor</w:t>
      </w:r>
      <w:proofErr w:type="spellEnd"/>
      <w:r w:rsidR="00CB03C6" w:rsidRPr="00CD48F9">
        <w:rPr>
          <w:lang w:val="ro-RO"/>
        </w:rPr>
        <w:t xml:space="preserve"> de interes public.</w:t>
      </w:r>
    </w:p>
    <w:p w:rsidR="00CB03C6" w:rsidRPr="00CD48F9" w:rsidRDefault="00CB03C6" w:rsidP="00972E3A">
      <w:pPr>
        <w:spacing w:after="120" w:line="276" w:lineRule="auto"/>
        <w:rPr>
          <w:lang w:val="ro-RO"/>
        </w:rPr>
      </w:pPr>
      <w:r w:rsidRPr="00CD48F9">
        <w:rPr>
          <w:lang w:val="ro-RO"/>
        </w:rPr>
        <w:t xml:space="preserve">Scopul SNA 2016-2020 </w:t>
      </w:r>
      <w:r w:rsidR="00FA640C" w:rsidRPr="00CD48F9">
        <w:rPr>
          <w:lang w:val="ro-RO"/>
        </w:rPr>
        <w:t>îl reprezintă</w:t>
      </w:r>
      <w:r w:rsidRPr="00CD48F9">
        <w:rPr>
          <w:lang w:val="ro-RO"/>
        </w:rPr>
        <w:t xml:space="preserve"> promovarea </w:t>
      </w:r>
      <w:proofErr w:type="spellStart"/>
      <w:r w:rsidRPr="00CD48F9">
        <w:rPr>
          <w:lang w:val="ro-RO"/>
        </w:rPr>
        <w:t>integrităţii</w:t>
      </w:r>
      <w:proofErr w:type="spellEnd"/>
      <w:r w:rsidRPr="00CD48F9">
        <w:rPr>
          <w:lang w:val="ro-RO"/>
        </w:rPr>
        <w:t xml:space="preserve">, prin aplicarea riguroasă a cadrului normativ </w:t>
      </w:r>
      <w:proofErr w:type="spellStart"/>
      <w:r w:rsidRPr="00CD48F9">
        <w:rPr>
          <w:lang w:val="ro-RO"/>
        </w:rPr>
        <w:t>şi</w:t>
      </w:r>
      <w:proofErr w:type="spellEnd"/>
      <w:r w:rsidRPr="00CD48F9">
        <w:rPr>
          <w:lang w:val="ro-RO"/>
        </w:rPr>
        <w:t xml:space="preserve"> </w:t>
      </w:r>
      <w:proofErr w:type="spellStart"/>
      <w:r w:rsidRPr="00CD48F9">
        <w:rPr>
          <w:lang w:val="ro-RO"/>
        </w:rPr>
        <w:t>instituţional</w:t>
      </w:r>
      <w:proofErr w:type="spellEnd"/>
      <w:r w:rsidRPr="00CD48F9">
        <w:rPr>
          <w:lang w:val="ro-RO"/>
        </w:rPr>
        <w:t xml:space="preserve"> în vederea prevenirii </w:t>
      </w:r>
      <w:proofErr w:type="spellStart"/>
      <w:r w:rsidR="00895144" w:rsidRPr="00CD48F9">
        <w:rPr>
          <w:lang w:val="ro-RO"/>
        </w:rPr>
        <w:t>corupţiei</w:t>
      </w:r>
      <w:proofErr w:type="spellEnd"/>
      <w:r w:rsidR="00895144" w:rsidRPr="00CD48F9">
        <w:rPr>
          <w:lang w:val="ro-RO"/>
        </w:rPr>
        <w:t xml:space="preserve"> </w:t>
      </w:r>
      <w:r w:rsidRPr="00CD48F9">
        <w:rPr>
          <w:lang w:val="ro-RO"/>
        </w:rPr>
        <w:t>în România</w:t>
      </w:r>
      <w:r w:rsidR="00895144" w:rsidRPr="00CD48F9">
        <w:rPr>
          <w:lang w:val="ro-RO"/>
        </w:rPr>
        <w:t>.</w:t>
      </w:r>
      <w:r w:rsidRPr="00CD48F9">
        <w:rPr>
          <w:lang w:val="ro-RO"/>
        </w:rPr>
        <w:t xml:space="preserve">  </w:t>
      </w:r>
    </w:p>
    <w:p w:rsidR="00CB03C6" w:rsidRPr="00CD48F9" w:rsidRDefault="00CB03C6" w:rsidP="00972E3A">
      <w:pPr>
        <w:spacing w:after="120" w:line="276" w:lineRule="auto"/>
        <w:rPr>
          <w:lang w:val="ro-RO"/>
        </w:rPr>
      </w:pPr>
      <w:r w:rsidRPr="00CD48F9">
        <w:rPr>
          <w:lang w:val="ro-RO"/>
        </w:rPr>
        <w:t xml:space="preserve">Documentul are un caracter multidisciplinar </w:t>
      </w:r>
      <w:proofErr w:type="spellStart"/>
      <w:r w:rsidRPr="00CD48F9">
        <w:rPr>
          <w:lang w:val="ro-RO"/>
        </w:rPr>
        <w:t>şi</w:t>
      </w:r>
      <w:proofErr w:type="spellEnd"/>
      <w:r w:rsidRPr="00CD48F9">
        <w:rPr>
          <w:lang w:val="ro-RO"/>
        </w:rPr>
        <w:t xml:space="preserve"> este adresat tuturor </w:t>
      </w:r>
      <w:proofErr w:type="spellStart"/>
      <w:r w:rsidRPr="00CD48F9">
        <w:rPr>
          <w:lang w:val="ro-RO"/>
        </w:rPr>
        <w:t>instituţiilor</w:t>
      </w:r>
      <w:proofErr w:type="spellEnd"/>
      <w:r w:rsidRPr="00CD48F9">
        <w:rPr>
          <w:lang w:val="ro-RO"/>
        </w:rPr>
        <w:t xml:space="preserve"> publice reprezentând puterea executivă, legislativă </w:t>
      </w:r>
      <w:proofErr w:type="spellStart"/>
      <w:r w:rsidRPr="00CD48F9">
        <w:rPr>
          <w:lang w:val="ro-RO"/>
        </w:rPr>
        <w:t>şi</w:t>
      </w:r>
      <w:proofErr w:type="spellEnd"/>
      <w:r w:rsidRPr="00CD48F9">
        <w:rPr>
          <w:lang w:val="ro-RO"/>
        </w:rPr>
        <w:t xml:space="preserve"> judecătorească, </w:t>
      </w:r>
      <w:proofErr w:type="spellStart"/>
      <w:r w:rsidRPr="00CD48F9">
        <w:rPr>
          <w:lang w:val="ro-RO"/>
        </w:rPr>
        <w:t>autorităţilor</w:t>
      </w:r>
      <w:proofErr w:type="spellEnd"/>
      <w:r w:rsidRPr="00CD48F9">
        <w:rPr>
          <w:lang w:val="ro-RO"/>
        </w:rPr>
        <w:t xml:space="preserve"> publice locale, mediului de afaceri </w:t>
      </w:r>
      <w:proofErr w:type="spellStart"/>
      <w:r w:rsidRPr="00CD48F9">
        <w:rPr>
          <w:lang w:val="ro-RO"/>
        </w:rPr>
        <w:t>şi</w:t>
      </w:r>
      <w:proofErr w:type="spellEnd"/>
      <w:r w:rsidRPr="00CD48F9">
        <w:rPr>
          <w:lang w:val="ro-RO"/>
        </w:rPr>
        <w:t xml:space="preserve"> </w:t>
      </w:r>
      <w:proofErr w:type="spellStart"/>
      <w:r w:rsidRPr="00CD48F9">
        <w:rPr>
          <w:lang w:val="ro-RO"/>
        </w:rPr>
        <w:t>societăţii</w:t>
      </w:r>
      <w:proofErr w:type="spellEnd"/>
      <w:r w:rsidRPr="00CD48F9">
        <w:rPr>
          <w:lang w:val="ro-RO"/>
        </w:rPr>
        <w:t xml:space="preserve"> civile.  </w:t>
      </w:r>
    </w:p>
    <w:p w:rsidR="00CB03C6" w:rsidRPr="00CD48F9" w:rsidRDefault="00CB03C6" w:rsidP="00972E3A">
      <w:pPr>
        <w:spacing w:after="120" w:line="276" w:lineRule="auto"/>
        <w:rPr>
          <w:lang w:val="ro-RO"/>
        </w:rPr>
      </w:pPr>
      <w:r w:rsidRPr="00CD48F9">
        <w:rPr>
          <w:lang w:val="ro-RO"/>
        </w:rPr>
        <w:t xml:space="preserve">Pentru fiecare tip de </w:t>
      </w:r>
      <w:proofErr w:type="spellStart"/>
      <w:r w:rsidRPr="00CD48F9">
        <w:rPr>
          <w:lang w:val="ro-RO"/>
        </w:rPr>
        <w:t>intervenţie</w:t>
      </w:r>
      <w:proofErr w:type="spellEnd"/>
      <w:r w:rsidRPr="00CD48F9">
        <w:rPr>
          <w:lang w:val="ro-RO"/>
        </w:rPr>
        <w:t xml:space="preserve"> sunt identificate obiective generale </w:t>
      </w:r>
      <w:proofErr w:type="spellStart"/>
      <w:r w:rsidRPr="00CD48F9">
        <w:rPr>
          <w:lang w:val="ro-RO"/>
        </w:rPr>
        <w:t>şi</w:t>
      </w:r>
      <w:proofErr w:type="spellEnd"/>
      <w:r w:rsidRPr="00CD48F9">
        <w:rPr>
          <w:lang w:val="ro-RO"/>
        </w:rPr>
        <w:t xml:space="preserve"> specifice. Toate acestea sunt dezvoltate prin asumarea </w:t>
      </w:r>
      <w:proofErr w:type="spellStart"/>
      <w:r w:rsidRPr="00CD48F9">
        <w:rPr>
          <w:lang w:val="ro-RO"/>
        </w:rPr>
        <w:t>transparenţei</w:t>
      </w:r>
      <w:proofErr w:type="spellEnd"/>
      <w:r w:rsidRPr="00CD48F9">
        <w:rPr>
          <w:lang w:val="ro-RO"/>
        </w:rPr>
        <w:t xml:space="preserve"> decizionale </w:t>
      </w:r>
      <w:proofErr w:type="spellStart"/>
      <w:r w:rsidRPr="00CD48F9">
        <w:rPr>
          <w:lang w:val="ro-RO"/>
        </w:rPr>
        <w:t>şi</w:t>
      </w:r>
      <w:proofErr w:type="spellEnd"/>
      <w:r w:rsidRPr="00CD48F9">
        <w:rPr>
          <w:lang w:val="ro-RO"/>
        </w:rPr>
        <w:t xml:space="preserve"> a guvernării deschise, ca un corolar al prezentului document strategic, dublată de abordarea trihotomică de </w:t>
      </w:r>
      <w:proofErr w:type="spellStart"/>
      <w:r w:rsidRPr="00CD48F9">
        <w:rPr>
          <w:lang w:val="ro-RO"/>
        </w:rPr>
        <w:t>intervenţie</w:t>
      </w:r>
      <w:proofErr w:type="spellEnd"/>
      <w:r w:rsidRPr="00CD48F9">
        <w:rPr>
          <w:lang w:val="ro-RO"/>
        </w:rPr>
        <w:t xml:space="preserve"> strategică în domeniul </w:t>
      </w:r>
      <w:proofErr w:type="spellStart"/>
      <w:r w:rsidRPr="00CD48F9">
        <w:rPr>
          <w:lang w:val="ro-RO"/>
        </w:rPr>
        <w:t>anticorupţie</w:t>
      </w:r>
      <w:proofErr w:type="spellEnd"/>
      <w:r w:rsidRPr="00CD48F9">
        <w:rPr>
          <w:lang w:val="ro-RO"/>
        </w:rPr>
        <w:t xml:space="preserve">: </w:t>
      </w:r>
      <w:r w:rsidRPr="00CD48F9">
        <w:rPr>
          <w:i/>
          <w:lang w:val="ro-RO"/>
        </w:rPr>
        <w:t>prevenire</w:t>
      </w:r>
      <w:r w:rsidRPr="00CD48F9">
        <w:rPr>
          <w:lang w:val="ro-RO"/>
        </w:rPr>
        <w:t xml:space="preserve">, </w:t>
      </w:r>
      <w:proofErr w:type="spellStart"/>
      <w:r w:rsidRPr="00CD48F9">
        <w:rPr>
          <w:i/>
          <w:lang w:val="ro-RO"/>
        </w:rPr>
        <w:t>educaţie</w:t>
      </w:r>
      <w:proofErr w:type="spellEnd"/>
      <w:r w:rsidRPr="00CD48F9">
        <w:rPr>
          <w:lang w:val="ro-RO"/>
        </w:rPr>
        <w:t xml:space="preserve"> </w:t>
      </w:r>
      <w:proofErr w:type="spellStart"/>
      <w:r w:rsidRPr="00CD48F9">
        <w:rPr>
          <w:lang w:val="ro-RO"/>
        </w:rPr>
        <w:t>şi</w:t>
      </w:r>
      <w:proofErr w:type="spellEnd"/>
      <w:r w:rsidRPr="00CD48F9">
        <w:rPr>
          <w:lang w:val="ro-RO"/>
        </w:rPr>
        <w:t xml:space="preserve"> </w:t>
      </w:r>
      <w:r w:rsidRPr="00CD48F9">
        <w:rPr>
          <w:i/>
          <w:lang w:val="ro-RO"/>
        </w:rPr>
        <w:t>combatere</w:t>
      </w:r>
      <w:r w:rsidRPr="00CD48F9">
        <w:rPr>
          <w:lang w:val="ro-RO"/>
        </w:rPr>
        <w:t>.</w:t>
      </w:r>
    </w:p>
    <w:p w:rsidR="0094719F" w:rsidRPr="00CD48F9" w:rsidRDefault="000D46E5" w:rsidP="00972E3A">
      <w:pPr>
        <w:spacing w:after="120" w:line="276" w:lineRule="auto"/>
        <w:rPr>
          <w:lang w:val="ro-RO"/>
        </w:rPr>
      </w:pPr>
      <w:r w:rsidRPr="00CD48F9">
        <w:rPr>
          <w:lang w:val="ro-RO"/>
        </w:rPr>
        <w:t>Î</w:t>
      </w:r>
      <w:r w:rsidR="00236F2D" w:rsidRPr="00CD48F9">
        <w:rPr>
          <w:lang w:val="ro-RO"/>
        </w:rPr>
        <w:t>n acord cu Obiectivul general 6</w:t>
      </w:r>
      <w:r w:rsidR="004C2253" w:rsidRPr="00CD48F9">
        <w:rPr>
          <w:lang w:val="ro-RO"/>
        </w:rPr>
        <w:t xml:space="preserve"> din SNA 2016-2020</w:t>
      </w:r>
      <w:r w:rsidR="004C2253" w:rsidRPr="00CD48F9">
        <w:rPr>
          <w:rStyle w:val="FootnoteReference"/>
          <w:lang w:val="ro-RO"/>
        </w:rPr>
        <w:footnoteReference w:id="2"/>
      </w:r>
      <w:r w:rsidR="006A0560" w:rsidRPr="00CD48F9">
        <w:rPr>
          <w:i/>
          <w:lang w:val="ro-RO"/>
        </w:rPr>
        <w:t xml:space="preserve">, </w:t>
      </w:r>
      <w:r w:rsidR="006A0560" w:rsidRPr="00CD48F9">
        <w:rPr>
          <w:lang w:val="ro-RO"/>
        </w:rPr>
        <w:t>prin O</w:t>
      </w:r>
      <w:r w:rsidR="00C9347A" w:rsidRPr="00CD48F9">
        <w:rPr>
          <w:lang w:val="ro-RO"/>
        </w:rPr>
        <w:t xml:space="preserve">rdinul </w:t>
      </w:r>
      <w:r w:rsidR="006A0560" w:rsidRPr="00CD48F9">
        <w:rPr>
          <w:lang w:val="ro-RO"/>
        </w:rPr>
        <w:t>M</w:t>
      </w:r>
      <w:r w:rsidR="00C9347A" w:rsidRPr="00CD48F9">
        <w:rPr>
          <w:lang w:val="ro-RO"/>
        </w:rPr>
        <w:t xml:space="preserve">inistrului </w:t>
      </w:r>
      <w:r w:rsidR="006A0560" w:rsidRPr="00CD48F9">
        <w:rPr>
          <w:lang w:val="ro-RO"/>
        </w:rPr>
        <w:t>J</w:t>
      </w:r>
      <w:r w:rsidR="00C9347A" w:rsidRPr="00CD48F9">
        <w:rPr>
          <w:lang w:val="ro-RO"/>
        </w:rPr>
        <w:t>ustiției</w:t>
      </w:r>
      <w:r w:rsidR="006A0560" w:rsidRPr="00CD48F9">
        <w:rPr>
          <w:lang w:val="ro-RO"/>
        </w:rPr>
        <w:t xml:space="preserve"> nr.</w:t>
      </w:r>
      <w:r w:rsidR="009D1850" w:rsidRPr="00CD48F9">
        <w:rPr>
          <w:lang w:val="ro-RO"/>
        </w:rPr>
        <w:t xml:space="preserve"> 980/C/24.03.2017 </w:t>
      </w:r>
      <w:r w:rsidR="006A0560" w:rsidRPr="00CD48F9">
        <w:rPr>
          <w:lang w:val="ro-RO"/>
        </w:rPr>
        <w:t xml:space="preserve">a fost adoptat Planul de integritate al Ministerului </w:t>
      </w:r>
      <w:proofErr w:type="spellStart"/>
      <w:r w:rsidR="006A0560" w:rsidRPr="00CD48F9">
        <w:rPr>
          <w:lang w:val="ro-RO"/>
        </w:rPr>
        <w:t>Justitie</w:t>
      </w:r>
      <w:proofErr w:type="spellEnd"/>
      <w:r w:rsidR="00FE4C1C" w:rsidRPr="00CD48F9">
        <w:rPr>
          <w:lang w:val="ro-RO"/>
        </w:rPr>
        <w:t xml:space="preserve"> (MJ)</w:t>
      </w:r>
      <w:r w:rsidR="006A0560" w:rsidRPr="00CD48F9">
        <w:rPr>
          <w:lang w:val="ro-RO"/>
        </w:rPr>
        <w:t xml:space="preserve"> pentru perioada 2017-2020. Documentul</w:t>
      </w:r>
      <w:r w:rsidR="009D1850" w:rsidRPr="00CD48F9">
        <w:rPr>
          <w:lang w:val="ro-RO"/>
        </w:rPr>
        <w:t>, aplicabil compartimentelor ș</w:t>
      </w:r>
      <w:r w:rsidR="0094719F" w:rsidRPr="00CD48F9">
        <w:rPr>
          <w:lang w:val="ro-RO"/>
        </w:rPr>
        <w:t>i structurilor subordonate MJ,</w:t>
      </w:r>
      <w:r w:rsidR="006A0560" w:rsidRPr="00CD48F9">
        <w:rPr>
          <w:lang w:val="ro-RO"/>
        </w:rPr>
        <w:t xml:space="preserve"> cuprinde </w:t>
      </w:r>
      <w:r w:rsidR="009D1850" w:rsidRPr="00CD48F9">
        <w:rPr>
          <w:lang w:val="ro-RO"/>
        </w:rPr>
        <w:t>52</w:t>
      </w:r>
      <w:r w:rsidR="00EC69E5" w:rsidRPr="00CD48F9">
        <w:rPr>
          <w:lang w:val="ro-RO"/>
        </w:rPr>
        <w:t xml:space="preserve"> de mă</w:t>
      </w:r>
      <w:r w:rsidR="0094719F" w:rsidRPr="00CD48F9">
        <w:rPr>
          <w:lang w:val="ro-RO"/>
        </w:rPr>
        <w:t>suri,</w:t>
      </w:r>
      <w:r w:rsidR="00EC69E5" w:rsidRPr="00CD48F9">
        <w:rPr>
          <w:lang w:val="ro-RO"/>
        </w:rPr>
        <w:t xml:space="preserve"> prevă</w:t>
      </w:r>
      <w:r w:rsidR="0094719F" w:rsidRPr="00CD48F9">
        <w:rPr>
          <w:lang w:val="ro-RO"/>
        </w:rPr>
        <w:t>zute pentru a implementa obiectivele SNA 2016-2020.</w:t>
      </w:r>
    </w:p>
    <w:p w:rsidR="00342F5E" w:rsidRPr="00CD48F9" w:rsidRDefault="00342F5E" w:rsidP="00972E3A">
      <w:pPr>
        <w:pStyle w:val="Title"/>
        <w:spacing w:before="0" w:after="120" w:line="276" w:lineRule="auto"/>
        <w:jc w:val="both"/>
        <w:rPr>
          <w:rFonts w:ascii="Trebuchet MS" w:hAnsi="Trebuchet MS"/>
          <w:sz w:val="22"/>
          <w:szCs w:val="22"/>
          <w:lang w:val="ro-RO"/>
        </w:rPr>
      </w:pPr>
      <w:bookmarkStart w:id="2" w:name="_Toc3376505"/>
    </w:p>
    <w:p w:rsidR="00CB03C6" w:rsidRPr="00CD48F9" w:rsidRDefault="00195B42" w:rsidP="00972E3A">
      <w:pPr>
        <w:pStyle w:val="Title"/>
        <w:spacing w:before="0" w:after="120" w:line="276" w:lineRule="auto"/>
        <w:jc w:val="both"/>
        <w:rPr>
          <w:rFonts w:ascii="Trebuchet MS" w:hAnsi="Trebuchet MS"/>
          <w:sz w:val="22"/>
          <w:szCs w:val="22"/>
          <w:lang w:val="ro-RO"/>
        </w:rPr>
      </w:pPr>
      <w:r w:rsidRPr="00CD48F9">
        <w:rPr>
          <w:rFonts w:ascii="Trebuchet MS" w:hAnsi="Trebuchet MS"/>
          <w:sz w:val="22"/>
          <w:szCs w:val="22"/>
          <w:lang w:val="ro-RO"/>
        </w:rPr>
        <w:t>2. Monitorizare</w:t>
      </w:r>
      <w:r w:rsidR="00E51FF1" w:rsidRPr="00CD48F9">
        <w:rPr>
          <w:rFonts w:ascii="Trebuchet MS" w:hAnsi="Trebuchet MS"/>
          <w:sz w:val="22"/>
          <w:szCs w:val="22"/>
          <w:lang w:val="ro-RO"/>
        </w:rPr>
        <w:t>a</w:t>
      </w:r>
      <w:r w:rsidR="00CB03C6" w:rsidRPr="00CD48F9">
        <w:rPr>
          <w:rFonts w:ascii="Trebuchet MS" w:hAnsi="Trebuchet MS"/>
          <w:sz w:val="22"/>
          <w:szCs w:val="22"/>
          <w:lang w:val="ro-RO"/>
        </w:rPr>
        <w:t xml:space="preserve"> SNA 2016-2020</w:t>
      </w:r>
      <w:bookmarkEnd w:id="2"/>
    </w:p>
    <w:p w:rsidR="00CB03C6" w:rsidRPr="00CD48F9" w:rsidRDefault="00CB03C6" w:rsidP="00972E3A">
      <w:pPr>
        <w:pStyle w:val="Title"/>
        <w:spacing w:before="0" w:after="120" w:line="276" w:lineRule="auto"/>
        <w:jc w:val="both"/>
        <w:rPr>
          <w:rFonts w:ascii="Trebuchet MS" w:hAnsi="Trebuchet MS"/>
          <w:sz w:val="22"/>
          <w:szCs w:val="22"/>
          <w:lang w:val="ro-RO"/>
        </w:rPr>
      </w:pPr>
      <w:bookmarkStart w:id="3" w:name="_Toc3376506"/>
      <w:r w:rsidRPr="00CD48F9">
        <w:rPr>
          <w:rFonts w:ascii="Trebuchet MS" w:hAnsi="Trebuchet MS"/>
          <w:sz w:val="22"/>
          <w:szCs w:val="22"/>
          <w:lang w:val="ro-RO"/>
        </w:rPr>
        <w:t xml:space="preserve">2.1. </w:t>
      </w:r>
      <w:bookmarkEnd w:id="3"/>
      <w:r w:rsidR="002060A5" w:rsidRPr="00CD48F9">
        <w:rPr>
          <w:rFonts w:ascii="Trebuchet MS" w:hAnsi="Trebuchet MS"/>
          <w:sz w:val="22"/>
          <w:szCs w:val="22"/>
          <w:lang w:val="ro-RO"/>
        </w:rPr>
        <w:t>Context național</w:t>
      </w:r>
    </w:p>
    <w:p w:rsidR="00C768B5" w:rsidRPr="00CD48F9" w:rsidRDefault="00C768B5" w:rsidP="00972E3A">
      <w:pPr>
        <w:spacing w:after="120" w:line="276" w:lineRule="auto"/>
        <w:rPr>
          <w:rFonts w:eastAsia="Calibri" w:cs="Arial"/>
          <w:lang w:val="ro-RO"/>
        </w:rPr>
      </w:pPr>
      <w:r w:rsidRPr="00CD48F9">
        <w:rPr>
          <w:rFonts w:eastAsia="Calibri"/>
          <w:lang w:val="ro-RO"/>
        </w:rPr>
        <w:t>I</w:t>
      </w:r>
      <w:r w:rsidR="00D004FB" w:rsidRPr="00CD48F9">
        <w:rPr>
          <w:rFonts w:eastAsia="Calibri"/>
          <w:lang w:val="ro-RO"/>
        </w:rPr>
        <w:t>mplementarea</w:t>
      </w:r>
      <w:r w:rsidR="00195B42" w:rsidRPr="00CD48F9">
        <w:rPr>
          <w:rFonts w:eastAsia="Calibri"/>
          <w:lang w:val="ro-RO"/>
        </w:rPr>
        <w:t xml:space="preserve"> </w:t>
      </w:r>
      <w:r w:rsidRPr="00CD48F9">
        <w:rPr>
          <w:rFonts w:eastAsia="Calibri"/>
          <w:lang w:val="ro-RO"/>
        </w:rPr>
        <w:t>SNA 2016-2020</w:t>
      </w:r>
      <w:r w:rsidR="00CB03C6" w:rsidRPr="00CD48F9">
        <w:rPr>
          <w:rFonts w:eastAsia="Calibri"/>
          <w:lang w:val="ro-RO"/>
        </w:rPr>
        <w:t xml:space="preserve"> se realizează sub autoritatea </w:t>
      </w:r>
      <w:proofErr w:type="spellStart"/>
      <w:r w:rsidR="00CB03C6" w:rsidRPr="00CD48F9">
        <w:rPr>
          <w:rFonts w:eastAsia="Calibri"/>
          <w:lang w:val="ro-RO"/>
        </w:rPr>
        <w:t>şi</w:t>
      </w:r>
      <w:proofErr w:type="spellEnd"/>
      <w:r w:rsidR="00CB03C6" w:rsidRPr="00CD48F9">
        <w:rPr>
          <w:rFonts w:eastAsia="Calibri"/>
          <w:lang w:val="ro-RO"/>
        </w:rPr>
        <w:t xml:space="preserve"> în coordonarea ministrului </w:t>
      </w:r>
      <w:proofErr w:type="spellStart"/>
      <w:r w:rsidR="00CB03C6" w:rsidRPr="00CD48F9">
        <w:rPr>
          <w:rFonts w:eastAsia="Calibri"/>
          <w:lang w:val="ro-RO"/>
        </w:rPr>
        <w:t>just</w:t>
      </w:r>
      <w:r w:rsidR="00195B42" w:rsidRPr="00CD48F9">
        <w:rPr>
          <w:rFonts w:eastAsia="Calibri"/>
          <w:lang w:val="ro-RO"/>
        </w:rPr>
        <w:t>iţiei</w:t>
      </w:r>
      <w:proofErr w:type="spellEnd"/>
      <w:r w:rsidR="00DD6381" w:rsidRPr="00CD48F9">
        <w:rPr>
          <w:rFonts w:eastAsia="Calibri"/>
          <w:lang w:val="ro-RO"/>
        </w:rPr>
        <w:t xml:space="preserve">, potrivit </w:t>
      </w:r>
      <w:r w:rsidR="00DD6381" w:rsidRPr="00CD48F9">
        <w:rPr>
          <w:lang w:val="ro-RO"/>
        </w:rPr>
        <w:t xml:space="preserve">Metodologiei de monitorizare aprobata prin Ordinul Ministrului </w:t>
      </w:r>
      <w:proofErr w:type="spellStart"/>
      <w:r w:rsidR="00DD6381" w:rsidRPr="00CD48F9">
        <w:rPr>
          <w:lang w:val="ro-RO"/>
        </w:rPr>
        <w:t>Justiţiei</w:t>
      </w:r>
      <w:proofErr w:type="spellEnd"/>
      <w:r w:rsidR="00DD6381" w:rsidRPr="00CD48F9">
        <w:rPr>
          <w:lang w:val="ro-RO"/>
        </w:rPr>
        <w:t xml:space="preserve"> nr. 1361/C/2017,</w:t>
      </w:r>
      <w:r w:rsidR="00CB03C6" w:rsidRPr="00CD48F9">
        <w:rPr>
          <w:rFonts w:eastAsia="Calibri" w:cs="Arial"/>
          <w:lang w:val="ro-RO"/>
        </w:rPr>
        <w:t xml:space="preserve"> </w:t>
      </w:r>
      <w:r w:rsidR="00DD6381" w:rsidRPr="00CD48F9">
        <w:rPr>
          <w:lang w:val="ro-RO"/>
        </w:rPr>
        <w:t xml:space="preserve">document prin care sunt reglementate </w:t>
      </w:r>
      <w:proofErr w:type="spellStart"/>
      <w:r w:rsidR="00DD6381" w:rsidRPr="00CD48F9">
        <w:rPr>
          <w:lang w:val="ro-RO"/>
        </w:rPr>
        <w:t>atribuţiile</w:t>
      </w:r>
      <w:proofErr w:type="spellEnd"/>
      <w:r w:rsidR="00DD6381" w:rsidRPr="00CD48F9">
        <w:rPr>
          <w:lang w:val="ro-RO"/>
        </w:rPr>
        <w:t xml:space="preserve"> Secretariatului tehnic, rolul platformelor de cooperare </w:t>
      </w:r>
      <w:proofErr w:type="spellStart"/>
      <w:r w:rsidR="00DD6381" w:rsidRPr="00CD48F9">
        <w:rPr>
          <w:lang w:val="ro-RO"/>
        </w:rPr>
        <w:t>şi</w:t>
      </w:r>
      <w:proofErr w:type="spellEnd"/>
      <w:r w:rsidR="00DD6381" w:rsidRPr="00CD48F9">
        <w:rPr>
          <w:lang w:val="ro-RO"/>
        </w:rPr>
        <w:t xml:space="preserve"> organizarea reuniunilor acestora, organizarea misiunilor de evaluare tematică (alegerea temelor de evaluare, a </w:t>
      </w:r>
      <w:proofErr w:type="spellStart"/>
      <w:r w:rsidR="00DD6381" w:rsidRPr="00CD48F9">
        <w:rPr>
          <w:lang w:val="ro-RO"/>
        </w:rPr>
        <w:t>instituţiilor</w:t>
      </w:r>
      <w:proofErr w:type="spellEnd"/>
      <w:r w:rsidR="00DD6381" w:rsidRPr="00CD48F9">
        <w:rPr>
          <w:lang w:val="ro-RO"/>
        </w:rPr>
        <w:t xml:space="preserve"> supuse evaluării, procedura evaluării), modalități de raportare a implementării SNA 2016 -2020.</w:t>
      </w:r>
    </w:p>
    <w:p w:rsidR="006A2A33" w:rsidRPr="00CD48F9" w:rsidRDefault="00D004FB" w:rsidP="00972E3A">
      <w:pPr>
        <w:spacing w:after="120" w:line="276" w:lineRule="auto"/>
        <w:rPr>
          <w:rFonts w:eastAsia="Calibri" w:cs="Arial"/>
          <w:lang w:val="ro-RO"/>
        </w:rPr>
      </w:pPr>
      <w:r w:rsidRPr="00CD48F9">
        <w:rPr>
          <w:rFonts w:eastAsia="Times New Roman" w:cs="Arial"/>
          <w:lang w:val="ro-RO"/>
        </w:rPr>
        <w:t>C</w:t>
      </w:r>
      <w:r w:rsidR="00CB03C6" w:rsidRPr="00CD48F9">
        <w:rPr>
          <w:rFonts w:eastAsia="Times New Roman" w:cs="Arial"/>
          <w:lang w:val="ro-RO"/>
        </w:rPr>
        <w:t>ele cinci platforme de cooperare</w:t>
      </w:r>
      <w:r w:rsidR="00EC69E5" w:rsidRPr="00CD48F9">
        <w:rPr>
          <w:rFonts w:eastAsia="Times New Roman" w:cs="Arial"/>
          <w:lang w:val="ro-RO"/>
        </w:rPr>
        <w:t>,</w:t>
      </w:r>
      <w:r w:rsidR="00CB03C6" w:rsidRPr="00CD48F9">
        <w:rPr>
          <w:rFonts w:eastAsia="Times New Roman" w:cs="Arial"/>
          <w:lang w:val="ro-RO"/>
        </w:rPr>
        <w:t xml:space="preserve"> dezvoltate </w:t>
      </w:r>
      <w:r w:rsidRPr="00CD48F9">
        <w:rPr>
          <w:rFonts w:eastAsia="Times New Roman" w:cs="Arial"/>
          <w:lang w:val="ro-RO"/>
        </w:rPr>
        <w:t xml:space="preserve">pentru </w:t>
      </w:r>
      <w:r w:rsidR="008671DB" w:rsidRPr="00CD48F9">
        <w:rPr>
          <w:rFonts w:eastAsia="Times New Roman" w:cs="Arial"/>
          <w:lang w:val="ro-RO"/>
        </w:rPr>
        <w:t>monitorizarea</w:t>
      </w:r>
      <w:r w:rsidRPr="00CD48F9">
        <w:rPr>
          <w:rFonts w:eastAsia="Times New Roman" w:cs="Arial"/>
          <w:lang w:val="ro-RO"/>
        </w:rPr>
        <w:t xml:space="preserve"> </w:t>
      </w:r>
      <w:r w:rsidR="00195B42" w:rsidRPr="00CD48F9">
        <w:rPr>
          <w:rFonts w:eastAsia="Times New Roman" w:cs="Arial"/>
          <w:lang w:val="ro-RO"/>
        </w:rPr>
        <w:t>strategiei</w:t>
      </w:r>
      <w:r w:rsidR="008671DB" w:rsidRPr="00CD48F9">
        <w:rPr>
          <w:rStyle w:val="FootnoteReference"/>
          <w:rFonts w:eastAsia="Times New Roman" w:cs="Arial"/>
          <w:lang w:val="ro-RO"/>
        </w:rPr>
        <w:footnoteReference w:id="3"/>
      </w:r>
      <w:r w:rsidR="00195B42" w:rsidRPr="00CD48F9">
        <w:rPr>
          <w:rFonts w:eastAsia="Times New Roman" w:cs="Arial"/>
          <w:lang w:val="ro-RO"/>
        </w:rPr>
        <w:t>,</w:t>
      </w:r>
      <w:r w:rsidR="00CB03C6" w:rsidRPr="00CD48F9">
        <w:rPr>
          <w:rFonts w:eastAsia="Calibri" w:cs="Arial"/>
          <w:lang w:val="ro-RO"/>
        </w:rPr>
        <w:t xml:space="preserve"> sunt convocate semestrial s</w:t>
      </w:r>
      <w:r w:rsidR="00A249DD" w:rsidRPr="00CD48F9">
        <w:rPr>
          <w:rFonts w:eastAsia="Calibri" w:cs="Arial"/>
          <w:lang w:val="ro-RO"/>
        </w:rPr>
        <w:t xml:space="preserve">au ori de câte ori este nevoie, având </w:t>
      </w:r>
      <w:r w:rsidR="00A249DD" w:rsidRPr="00CD48F9">
        <w:rPr>
          <w:rFonts w:eastAsia="Calibri"/>
          <w:lang w:val="ro-RO"/>
        </w:rPr>
        <w:t>rolul principal de a facilita dialogul dintre principalii actorii în lupta împotriva corupției.</w:t>
      </w:r>
    </w:p>
    <w:p w:rsidR="007109C2" w:rsidRPr="00CD48F9" w:rsidRDefault="007109C2" w:rsidP="00972E3A">
      <w:pPr>
        <w:spacing w:after="120" w:line="276" w:lineRule="auto"/>
        <w:rPr>
          <w:rFonts w:eastAsia="Calibri" w:cs="Arial"/>
          <w:lang w:val="ro-RO"/>
        </w:rPr>
      </w:pPr>
      <w:r w:rsidRPr="00CD48F9">
        <w:rPr>
          <w:lang w:val="ro-RO"/>
        </w:rPr>
        <w:t xml:space="preserve">Pentru a veni în sprijinul procesului de monitorizare </w:t>
      </w:r>
      <w:proofErr w:type="spellStart"/>
      <w:r w:rsidR="008671DB" w:rsidRPr="00CD48F9">
        <w:rPr>
          <w:lang w:val="ro-RO"/>
        </w:rPr>
        <w:t>şi</w:t>
      </w:r>
      <w:proofErr w:type="spellEnd"/>
      <w:r w:rsidRPr="00CD48F9">
        <w:rPr>
          <w:lang w:val="ro-RO"/>
        </w:rPr>
        <w:t xml:space="preserve"> implementare</w:t>
      </w:r>
      <w:r w:rsidR="008671DB" w:rsidRPr="00CD48F9">
        <w:rPr>
          <w:lang w:val="ro-RO"/>
        </w:rPr>
        <w:t xml:space="preserve"> a măsurilor prevăzute de strategie, </w:t>
      </w:r>
      <w:proofErr w:type="spellStart"/>
      <w:r w:rsidR="008671DB" w:rsidRPr="00CD48F9">
        <w:rPr>
          <w:lang w:val="ro-RO"/>
        </w:rPr>
        <w:t>Direcţia</w:t>
      </w:r>
      <w:proofErr w:type="spellEnd"/>
      <w:r w:rsidR="008671DB" w:rsidRPr="00CD48F9">
        <w:rPr>
          <w:lang w:val="ro-RO"/>
        </w:rPr>
        <w:t xml:space="preserve"> de Prevenire a </w:t>
      </w:r>
      <w:proofErr w:type="spellStart"/>
      <w:r w:rsidR="008671DB" w:rsidRPr="00CD48F9">
        <w:rPr>
          <w:lang w:val="ro-RO"/>
        </w:rPr>
        <w:t>Criminalităţii</w:t>
      </w:r>
      <w:proofErr w:type="spellEnd"/>
      <w:r w:rsidR="008671DB" w:rsidRPr="00CD48F9">
        <w:rPr>
          <w:lang w:val="ro-RO"/>
        </w:rPr>
        <w:t xml:space="preserve"> (DPC) din cadrul </w:t>
      </w:r>
      <w:r w:rsidR="00FE4C1C" w:rsidRPr="00CD48F9">
        <w:rPr>
          <w:lang w:val="ro-RO"/>
        </w:rPr>
        <w:t>MJ</w:t>
      </w:r>
      <w:r w:rsidR="008671DB" w:rsidRPr="00CD48F9">
        <w:rPr>
          <w:lang w:val="ro-RO"/>
        </w:rPr>
        <w:t xml:space="preserve"> asig</w:t>
      </w:r>
      <w:r w:rsidR="00547563" w:rsidRPr="00CD48F9">
        <w:rPr>
          <w:lang w:val="ro-RO"/>
        </w:rPr>
        <w:t>ură Secretariatul tehnic al SNA</w:t>
      </w:r>
      <w:r w:rsidR="008671DB" w:rsidRPr="00CD48F9">
        <w:rPr>
          <w:rFonts w:eastAsia="Calibri" w:cs="Arial"/>
          <w:lang w:val="ro-RO"/>
        </w:rPr>
        <w:t xml:space="preserve"> </w:t>
      </w:r>
      <w:r w:rsidR="00547563" w:rsidRPr="00CD48F9">
        <w:rPr>
          <w:rFonts w:eastAsia="Calibri" w:cs="Arial"/>
          <w:lang w:val="ro-RO"/>
        </w:rPr>
        <w:t>care</w:t>
      </w:r>
      <w:r w:rsidR="008671DB" w:rsidRPr="00CD48F9">
        <w:rPr>
          <w:lang w:val="ro-RO"/>
        </w:rPr>
        <w:t xml:space="preserve"> </w:t>
      </w:r>
      <w:r w:rsidRPr="00CD48F9">
        <w:rPr>
          <w:lang w:val="ro-RO"/>
        </w:rPr>
        <w:t xml:space="preserve">are rolul de a derula </w:t>
      </w:r>
      <w:proofErr w:type="spellStart"/>
      <w:r w:rsidRPr="00CD48F9">
        <w:rPr>
          <w:lang w:val="ro-RO"/>
        </w:rPr>
        <w:t>activităţi</w:t>
      </w:r>
      <w:proofErr w:type="spellEnd"/>
      <w:r w:rsidRPr="00CD48F9">
        <w:rPr>
          <w:lang w:val="ro-RO"/>
        </w:rPr>
        <w:t xml:space="preserve"> de monitorizare</w:t>
      </w:r>
      <w:r w:rsidR="005C392B" w:rsidRPr="00CD48F9">
        <w:rPr>
          <w:lang w:val="ro-RO"/>
        </w:rPr>
        <w:t xml:space="preserve"> </w:t>
      </w:r>
      <w:proofErr w:type="spellStart"/>
      <w:r w:rsidRPr="00CD48F9">
        <w:rPr>
          <w:lang w:val="ro-RO"/>
        </w:rPr>
        <w:t>şi</w:t>
      </w:r>
      <w:proofErr w:type="spellEnd"/>
      <w:r w:rsidRPr="00CD48F9">
        <w:rPr>
          <w:lang w:val="ro-RO"/>
        </w:rPr>
        <w:t xml:space="preserve"> suport </w:t>
      </w:r>
      <w:proofErr w:type="spellStart"/>
      <w:r w:rsidRPr="00CD48F9">
        <w:rPr>
          <w:lang w:val="ro-RO"/>
        </w:rPr>
        <w:t>instituţional</w:t>
      </w:r>
      <w:proofErr w:type="spellEnd"/>
      <w:r w:rsidRPr="00CD48F9">
        <w:rPr>
          <w:lang w:val="ro-RO"/>
        </w:rPr>
        <w:t xml:space="preserve"> pentru implementarea strategiei</w:t>
      </w:r>
      <w:r w:rsidR="00195B42" w:rsidRPr="00CD48F9">
        <w:rPr>
          <w:lang w:val="ro-RO"/>
        </w:rPr>
        <w:t xml:space="preserve">, </w:t>
      </w:r>
      <w:r w:rsidR="00DD6381" w:rsidRPr="00CD48F9">
        <w:rPr>
          <w:lang w:val="ro-RO"/>
        </w:rPr>
        <w:t>precum</w:t>
      </w:r>
      <w:r w:rsidRPr="00CD48F9">
        <w:rPr>
          <w:lang w:val="ro-RO"/>
        </w:rPr>
        <w:t xml:space="preserve">:  </w:t>
      </w:r>
    </w:p>
    <w:p w:rsidR="00CB03C6" w:rsidRPr="00CD48F9" w:rsidRDefault="00CB03C6" w:rsidP="0080034B">
      <w:pPr>
        <w:pStyle w:val="ListParagraph"/>
        <w:numPr>
          <w:ilvl w:val="0"/>
          <w:numId w:val="5"/>
        </w:numPr>
        <w:spacing w:after="120" w:line="276" w:lineRule="auto"/>
        <w:rPr>
          <w:lang w:val="ro-RO"/>
        </w:rPr>
      </w:pPr>
      <w:r w:rsidRPr="00CD48F9">
        <w:rPr>
          <w:lang w:val="ro-RO"/>
        </w:rPr>
        <w:lastRenderedPageBreak/>
        <w:t xml:space="preserve">centralizarea </w:t>
      </w:r>
      <w:proofErr w:type="spellStart"/>
      <w:r w:rsidRPr="00CD48F9">
        <w:rPr>
          <w:lang w:val="ro-RO"/>
        </w:rPr>
        <w:t>şi</w:t>
      </w:r>
      <w:proofErr w:type="spellEnd"/>
      <w:r w:rsidRPr="00CD48F9">
        <w:rPr>
          <w:lang w:val="ro-RO"/>
        </w:rPr>
        <w:t xml:space="preserve"> actualizarea periodică a stadiului implementării inventarului măsurilor de </w:t>
      </w:r>
      <w:proofErr w:type="spellStart"/>
      <w:r w:rsidRPr="00CD48F9">
        <w:rPr>
          <w:lang w:val="ro-RO"/>
        </w:rPr>
        <w:t>transparenţă</w:t>
      </w:r>
      <w:proofErr w:type="spellEnd"/>
      <w:r w:rsidRPr="00CD48F9">
        <w:rPr>
          <w:lang w:val="ro-RO"/>
        </w:rPr>
        <w:t xml:space="preserve"> </w:t>
      </w:r>
      <w:proofErr w:type="spellStart"/>
      <w:r w:rsidRPr="00CD48F9">
        <w:rPr>
          <w:lang w:val="ro-RO"/>
        </w:rPr>
        <w:t>instituţională</w:t>
      </w:r>
      <w:proofErr w:type="spellEnd"/>
      <w:r w:rsidRPr="00CD48F9">
        <w:rPr>
          <w:lang w:val="ro-RO"/>
        </w:rPr>
        <w:t xml:space="preserve"> </w:t>
      </w:r>
      <w:proofErr w:type="spellStart"/>
      <w:r w:rsidRPr="00CD48F9">
        <w:rPr>
          <w:lang w:val="ro-RO"/>
        </w:rPr>
        <w:t>şi</w:t>
      </w:r>
      <w:proofErr w:type="spellEnd"/>
      <w:r w:rsidRPr="00CD48F9">
        <w:rPr>
          <w:lang w:val="ro-RO"/>
        </w:rPr>
        <w:t xml:space="preserve"> de prevenire a </w:t>
      </w:r>
      <w:proofErr w:type="spellStart"/>
      <w:r w:rsidRPr="00CD48F9">
        <w:rPr>
          <w:lang w:val="ro-RO"/>
        </w:rPr>
        <w:t>corupţiei</w:t>
      </w:r>
      <w:proofErr w:type="spellEnd"/>
      <w:r w:rsidRPr="00CD48F9">
        <w:rPr>
          <w:lang w:val="ro-RO"/>
        </w:rPr>
        <w:t xml:space="preserve"> (anexa nr. 3 la H.G.), în baza rapoartelor de autoevaluare;  </w:t>
      </w:r>
    </w:p>
    <w:p w:rsidR="00CB03C6" w:rsidRPr="00CD48F9" w:rsidRDefault="00CB03C6" w:rsidP="0080034B">
      <w:pPr>
        <w:pStyle w:val="ListParagraph"/>
        <w:numPr>
          <w:ilvl w:val="0"/>
          <w:numId w:val="5"/>
        </w:numPr>
        <w:spacing w:after="120" w:line="276" w:lineRule="auto"/>
        <w:rPr>
          <w:lang w:val="ro-RO"/>
        </w:rPr>
      </w:pPr>
      <w:r w:rsidRPr="00CD48F9">
        <w:rPr>
          <w:lang w:val="ro-RO"/>
        </w:rPr>
        <w:t xml:space="preserve">documentarea </w:t>
      </w:r>
      <w:proofErr w:type="spellStart"/>
      <w:r w:rsidRPr="00CD48F9">
        <w:rPr>
          <w:lang w:val="ro-RO"/>
        </w:rPr>
        <w:t>şi</w:t>
      </w:r>
      <w:proofErr w:type="spellEnd"/>
      <w:r w:rsidRPr="00CD48F9">
        <w:rPr>
          <w:lang w:val="ro-RO"/>
        </w:rPr>
        <w:t xml:space="preserve"> diseminarea de bune practici </w:t>
      </w:r>
      <w:proofErr w:type="spellStart"/>
      <w:r w:rsidRPr="00CD48F9">
        <w:rPr>
          <w:lang w:val="ro-RO"/>
        </w:rPr>
        <w:t>anticorupţie</w:t>
      </w:r>
      <w:proofErr w:type="spellEnd"/>
      <w:r w:rsidRPr="00CD48F9">
        <w:rPr>
          <w:lang w:val="ro-RO"/>
        </w:rPr>
        <w:t xml:space="preserve"> identificate;  </w:t>
      </w:r>
    </w:p>
    <w:p w:rsidR="00CB03C6" w:rsidRPr="00CD48F9" w:rsidRDefault="00CB03C6" w:rsidP="0080034B">
      <w:pPr>
        <w:pStyle w:val="ListParagraph"/>
        <w:numPr>
          <w:ilvl w:val="0"/>
          <w:numId w:val="5"/>
        </w:numPr>
        <w:spacing w:after="120" w:line="276" w:lineRule="auto"/>
        <w:rPr>
          <w:lang w:val="ro-RO"/>
        </w:rPr>
      </w:pPr>
      <w:r w:rsidRPr="00CD48F9">
        <w:rPr>
          <w:lang w:val="ro-RO"/>
        </w:rPr>
        <w:t xml:space="preserve">organizarea misiunilor de evaluare tematică;  </w:t>
      </w:r>
    </w:p>
    <w:p w:rsidR="00CB03C6" w:rsidRPr="00CD48F9" w:rsidRDefault="00CB03C6" w:rsidP="0080034B">
      <w:pPr>
        <w:pStyle w:val="ListParagraph"/>
        <w:numPr>
          <w:ilvl w:val="0"/>
          <w:numId w:val="5"/>
        </w:numPr>
        <w:spacing w:after="120" w:line="276" w:lineRule="auto"/>
        <w:rPr>
          <w:lang w:val="ro-RO"/>
        </w:rPr>
      </w:pPr>
      <w:r w:rsidRPr="00CD48F9">
        <w:rPr>
          <w:lang w:val="ro-RO"/>
        </w:rPr>
        <w:t xml:space="preserve">dezvoltarea unui mecanism </w:t>
      </w:r>
      <w:proofErr w:type="spellStart"/>
      <w:r w:rsidRPr="00CD48F9">
        <w:rPr>
          <w:lang w:val="ro-RO"/>
        </w:rPr>
        <w:t>instituţional</w:t>
      </w:r>
      <w:proofErr w:type="spellEnd"/>
      <w:r w:rsidRPr="00CD48F9">
        <w:rPr>
          <w:lang w:val="ro-RO"/>
        </w:rPr>
        <w:t xml:space="preserve"> de evaluare ex-post a incidentelor de integritate </w:t>
      </w:r>
      <w:proofErr w:type="spellStart"/>
      <w:r w:rsidRPr="00CD48F9">
        <w:rPr>
          <w:lang w:val="ro-RO"/>
        </w:rPr>
        <w:t>şi</w:t>
      </w:r>
      <w:proofErr w:type="spellEnd"/>
      <w:r w:rsidRPr="00CD48F9">
        <w:rPr>
          <w:lang w:val="ro-RO"/>
        </w:rPr>
        <w:t xml:space="preserve"> de promovare a măsurilor preventive adaptate; publicarea listei de incidente de integritate </w:t>
      </w:r>
      <w:proofErr w:type="spellStart"/>
      <w:r w:rsidRPr="00CD48F9">
        <w:rPr>
          <w:lang w:val="ro-RO"/>
        </w:rPr>
        <w:t>şi</w:t>
      </w:r>
      <w:proofErr w:type="spellEnd"/>
      <w:r w:rsidRPr="00CD48F9">
        <w:rPr>
          <w:lang w:val="ro-RO"/>
        </w:rPr>
        <w:t xml:space="preserve"> a măsurilor de remediere.</w:t>
      </w:r>
    </w:p>
    <w:p w:rsidR="00CB03C6" w:rsidRPr="00CD48F9" w:rsidRDefault="00CB03C6" w:rsidP="00972E3A">
      <w:pPr>
        <w:spacing w:after="120" w:line="276" w:lineRule="auto"/>
        <w:rPr>
          <w:lang w:val="ro-RO"/>
        </w:rPr>
      </w:pPr>
      <w:r w:rsidRPr="00CD48F9">
        <w:rPr>
          <w:lang w:val="ro-RO"/>
        </w:rPr>
        <w:t xml:space="preserve">Obiectivele procesului de monitorizare sunt:  </w:t>
      </w:r>
    </w:p>
    <w:p w:rsidR="00CB03C6" w:rsidRPr="00CD48F9" w:rsidRDefault="00CB03C6" w:rsidP="0080034B">
      <w:pPr>
        <w:numPr>
          <w:ilvl w:val="0"/>
          <w:numId w:val="4"/>
        </w:numPr>
        <w:spacing w:after="120" w:line="276" w:lineRule="auto"/>
        <w:contextualSpacing/>
        <w:rPr>
          <w:lang w:val="ro-RO"/>
        </w:rPr>
      </w:pPr>
      <w:r w:rsidRPr="00CD48F9">
        <w:rPr>
          <w:lang w:val="ro-RO"/>
        </w:rPr>
        <w:t>identificarea progreselor înregistrate în implementarea SNA</w:t>
      </w:r>
      <w:r w:rsidR="007E25FD" w:rsidRPr="00CD48F9">
        <w:rPr>
          <w:lang w:val="ro-RO"/>
        </w:rPr>
        <w:t xml:space="preserve"> 2016-2020</w:t>
      </w:r>
      <w:r w:rsidRPr="00CD48F9">
        <w:rPr>
          <w:lang w:val="ro-RO"/>
        </w:rPr>
        <w:t xml:space="preserve">;  </w:t>
      </w:r>
    </w:p>
    <w:p w:rsidR="00CB03C6" w:rsidRPr="00CD48F9" w:rsidRDefault="00CB03C6" w:rsidP="0080034B">
      <w:pPr>
        <w:numPr>
          <w:ilvl w:val="0"/>
          <w:numId w:val="4"/>
        </w:numPr>
        <w:spacing w:after="120" w:line="276" w:lineRule="auto"/>
        <w:contextualSpacing/>
        <w:rPr>
          <w:lang w:val="ro-RO"/>
        </w:rPr>
      </w:pPr>
      <w:r w:rsidRPr="00CD48F9">
        <w:rPr>
          <w:lang w:val="ro-RO"/>
        </w:rPr>
        <w:t xml:space="preserve">identificarea </w:t>
      </w:r>
      <w:proofErr w:type="spellStart"/>
      <w:r w:rsidRPr="00CD48F9">
        <w:rPr>
          <w:lang w:val="ro-RO"/>
        </w:rPr>
        <w:t>şi</w:t>
      </w:r>
      <w:proofErr w:type="spellEnd"/>
      <w:r w:rsidRPr="00CD48F9">
        <w:rPr>
          <w:lang w:val="ro-RO"/>
        </w:rPr>
        <w:t xml:space="preserve"> corectarea problemelor practice apărute în aplicarea politicilor </w:t>
      </w:r>
      <w:proofErr w:type="spellStart"/>
      <w:r w:rsidRPr="00CD48F9">
        <w:rPr>
          <w:lang w:val="ro-RO"/>
        </w:rPr>
        <w:t>şi</w:t>
      </w:r>
      <w:proofErr w:type="spellEnd"/>
      <w:r w:rsidRPr="00CD48F9">
        <w:rPr>
          <w:lang w:val="ro-RO"/>
        </w:rPr>
        <w:t xml:space="preserve"> normelor </w:t>
      </w:r>
      <w:proofErr w:type="spellStart"/>
      <w:r w:rsidRPr="00CD48F9">
        <w:rPr>
          <w:lang w:val="ro-RO"/>
        </w:rPr>
        <w:t>anticorupţie</w:t>
      </w:r>
      <w:proofErr w:type="spellEnd"/>
      <w:r w:rsidRPr="00CD48F9">
        <w:rPr>
          <w:lang w:val="ro-RO"/>
        </w:rPr>
        <w:t xml:space="preserve">;  </w:t>
      </w:r>
    </w:p>
    <w:p w:rsidR="00CB03C6" w:rsidRPr="00CD48F9" w:rsidRDefault="00CB03C6" w:rsidP="0080034B">
      <w:pPr>
        <w:numPr>
          <w:ilvl w:val="0"/>
          <w:numId w:val="4"/>
        </w:numPr>
        <w:spacing w:after="120" w:line="276" w:lineRule="auto"/>
        <w:contextualSpacing/>
        <w:rPr>
          <w:lang w:val="ro-RO"/>
        </w:rPr>
      </w:pPr>
      <w:proofErr w:type="spellStart"/>
      <w:r w:rsidRPr="00CD48F9">
        <w:rPr>
          <w:lang w:val="ro-RO"/>
        </w:rPr>
        <w:t>creşterea</w:t>
      </w:r>
      <w:proofErr w:type="spellEnd"/>
      <w:r w:rsidRPr="00CD48F9">
        <w:rPr>
          <w:lang w:val="ro-RO"/>
        </w:rPr>
        <w:t xml:space="preserve"> gradului de </w:t>
      </w:r>
      <w:proofErr w:type="spellStart"/>
      <w:r w:rsidRPr="00CD48F9">
        <w:rPr>
          <w:lang w:val="ro-RO"/>
        </w:rPr>
        <w:t>cunoaştere</w:t>
      </w:r>
      <w:proofErr w:type="spellEnd"/>
      <w:r w:rsidRPr="00CD48F9">
        <w:rPr>
          <w:lang w:val="ro-RO"/>
        </w:rPr>
        <w:t xml:space="preserve">, </w:t>
      </w:r>
      <w:proofErr w:type="spellStart"/>
      <w:r w:rsidRPr="00CD48F9">
        <w:rPr>
          <w:lang w:val="ro-RO"/>
        </w:rPr>
        <w:t>înţelegere</w:t>
      </w:r>
      <w:proofErr w:type="spellEnd"/>
      <w:r w:rsidRPr="00CD48F9">
        <w:rPr>
          <w:lang w:val="ro-RO"/>
        </w:rPr>
        <w:t xml:space="preserve"> </w:t>
      </w:r>
      <w:proofErr w:type="spellStart"/>
      <w:r w:rsidRPr="00CD48F9">
        <w:rPr>
          <w:lang w:val="ro-RO"/>
        </w:rPr>
        <w:t>şi</w:t>
      </w:r>
      <w:proofErr w:type="spellEnd"/>
      <w:r w:rsidRPr="00CD48F9">
        <w:rPr>
          <w:lang w:val="ro-RO"/>
        </w:rPr>
        <w:t xml:space="preserve"> implementare a măsurilor de prevenire a </w:t>
      </w:r>
      <w:proofErr w:type="spellStart"/>
      <w:r w:rsidRPr="00CD48F9">
        <w:rPr>
          <w:lang w:val="ro-RO"/>
        </w:rPr>
        <w:t>corupţiei</w:t>
      </w:r>
      <w:proofErr w:type="spellEnd"/>
      <w:r w:rsidRPr="00CD48F9">
        <w:rPr>
          <w:lang w:val="ro-RO"/>
        </w:rPr>
        <w:t xml:space="preserve">, în sectorul public </w:t>
      </w:r>
      <w:proofErr w:type="spellStart"/>
      <w:r w:rsidRPr="00CD48F9">
        <w:rPr>
          <w:lang w:val="ro-RO"/>
        </w:rPr>
        <w:t>şi</w:t>
      </w:r>
      <w:proofErr w:type="spellEnd"/>
      <w:r w:rsidRPr="00CD48F9">
        <w:rPr>
          <w:lang w:val="ro-RO"/>
        </w:rPr>
        <w:t xml:space="preserve"> privat.</w:t>
      </w:r>
    </w:p>
    <w:p w:rsidR="00AD229B" w:rsidRPr="00CD48F9" w:rsidRDefault="00AD229B">
      <w:pPr>
        <w:rPr>
          <w:b/>
          <w:bCs/>
          <w:lang w:val="ro-RO"/>
        </w:rPr>
      </w:pPr>
      <w:bookmarkStart w:id="4" w:name="_Toc3376507"/>
    </w:p>
    <w:p w:rsidR="00195B42" w:rsidRPr="00CD48F9" w:rsidRDefault="009462A6" w:rsidP="00972E3A">
      <w:pPr>
        <w:spacing w:after="120" w:line="276" w:lineRule="auto"/>
        <w:rPr>
          <w:rFonts w:eastAsia="Calibri"/>
          <w:b/>
          <w:lang w:val="ro-RO"/>
        </w:rPr>
      </w:pPr>
      <w:r w:rsidRPr="00CD48F9">
        <w:rPr>
          <w:rFonts w:eastAsia="Calibri"/>
          <w:b/>
          <w:lang w:val="ro-RO"/>
        </w:rPr>
        <w:t>2.2. Context euro</w:t>
      </w:r>
      <w:r w:rsidR="00E51FF1" w:rsidRPr="00CD48F9">
        <w:rPr>
          <w:rFonts w:eastAsia="Calibri"/>
          <w:b/>
          <w:lang w:val="ro-RO"/>
        </w:rPr>
        <w:t>pean</w:t>
      </w:r>
    </w:p>
    <w:p w:rsidR="00474EBD" w:rsidRPr="00CD48F9" w:rsidRDefault="00474EBD" w:rsidP="00972E3A">
      <w:pPr>
        <w:spacing w:after="120" w:line="276" w:lineRule="auto"/>
        <w:rPr>
          <w:rFonts w:eastAsia="Calibri"/>
          <w:lang w:val="ro-RO"/>
        </w:rPr>
      </w:pPr>
      <w:r w:rsidRPr="00CD48F9">
        <w:rPr>
          <w:rFonts w:eastAsia="Calibri"/>
          <w:lang w:val="ro-RO"/>
        </w:rPr>
        <w:t>Comisia Europeana monitorizeaz</w:t>
      </w:r>
      <w:r w:rsidR="009E338D" w:rsidRPr="00CD48F9">
        <w:rPr>
          <w:rFonts w:eastAsia="Calibri"/>
          <w:lang w:val="ro-RO"/>
        </w:rPr>
        <w:t>ă</w:t>
      </w:r>
      <w:r w:rsidRPr="00CD48F9">
        <w:rPr>
          <w:rFonts w:eastAsia="Calibri"/>
          <w:lang w:val="ro-RO"/>
        </w:rPr>
        <w:t xml:space="preserve"> implementarea SNA 2016-2020 din perspectiva Recomand</w:t>
      </w:r>
      <w:r w:rsidR="009E338D" w:rsidRPr="00CD48F9">
        <w:rPr>
          <w:rFonts w:eastAsia="Calibri"/>
          <w:lang w:val="ro-RO"/>
        </w:rPr>
        <w:t>ă</w:t>
      </w:r>
      <w:r w:rsidRPr="00CD48F9">
        <w:rPr>
          <w:rFonts w:eastAsia="Calibri"/>
          <w:lang w:val="ro-RO"/>
        </w:rPr>
        <w:t xml:space="preserve">rii 11 din </w:t>
      </w:r>
      <w:r w:rsidR="00195B42" w:rsidRPr="00CD48F9">
        <w:rPr>
          <w:rFonts w:eastAsia="Calibri"/>
          <w:lang w:val="ro-RO"/>
        </w:rPr>
        <w:t>Raportul Comisiei către Parlamentul European și Consiliu privind progresele înregistrate în România în cadrul Mecanismului de cooperare și verificare</w:t>
      </w:r>
      <w:r w:rsidRPr="00CD48F9">
        <w:rPr>
          <w:rFonts w:eastAsia="Calibri"/>
          <w:lang w:val="ro-RO"/>
        </w:rPr>
        <w:t xml:space="preserve"> -</w:t>
      </w:r>
      <w:r w:rsidR="00195B42" w:rsidRPr="00CD48F9">
        <w:rPr>
          <w:rFonts w:eastAsia="Calibri"/>
          <w:lang w:val="ro-RO"/>
        </w:rPr>
        <w:t xml:space="preserve"> </w:t>
      </w:r>
      <w:r w:rsidR="00E51FF1" w:rsidRPr="00CD48F9">
        <w:rPr>
          <w:rFonts w:eastAsia="Calibri"/>
          <w:lang w:val="ro-RO"/>
        </w:rPr>
        <w:t>”</w:t>
      </w:r>
      <w:r w:rsidR="00E51FF1" w:rsidRPr="00CD48F9">
        <w:rPr>
          <w:rFonts w:eastAsia="Calibri"/>
          <w:i/>
          <w:lang w:val="ro-RO"/>
        </w:rPr>
        <w:t>C</w:t>
      </w:r>
      <w:r w:rsidRPr="00CD48F9">
        <w:rPr>
          <w:rFonts w:eastAsia="Calibri"/>
          <w:i/>
          <w:lang w:val="ro-RO"/>
        </w:rPr>
        <w:t>ontinuarea punerii în aplicare a Strategiei naționale anticorupție, cu respectarea termenelor stabilite de guvern în august 2016. Ministrul justiției ar trebui să instituie un sistem de raportare cu privire la punerea în aplicare a Strategiei naționale anticorupție (inclusiv cu privire la statisticile referitoare la incidentele de integritate din administrația publică, detalii privind procedurile și sancțiunile disciplinare și informații referitoare la măsurile structurale aplicate în domeniile vulnerabile)</w:t>
      </w:r>
      <w:r w:rsidR="00E51FF1" w:rsidRPr="00CD48F9">
        <w:rPr>
          <w:rFonts w:eastAsia="Calibri"/>
          <w:lang w:val="ro-RO"/>
        </w:rPr>
        <w:t>”</w:t>
      </w:r>
      <w:r w:rsidR="00195B42" w:rsidRPr="00CD48F9">
        <w:rPr>
          <w:rFonts w:eastAsia="Calibri"/>
          <w:lang w:val="ro-RO"/>
        </w:rPr>
        <w:t xml:space="preserve">, recomandare formulată în contextul realizării </w:t>
      </w:r>
      <w:r w:rsidR="00195B42" w:rsidRPr="00CD48F9">
        <w:rPr>
          <w:rFonts w:eastAsia="Calibri"/>
          <w:i/>
          <w:lang w:val="ro-RO"/>
        </w:rPr>
        <w:t xml:space="preserve">Obiectivului de referință nr. 4: </w:t>
      </w:r>
      <w:r w:rsidRPr="00CD48F9">
        <w:rPr>
          <w:rFonts w:eastAsia="Calibri"/>
          <w:i/>
          <w:lang w:val="ro-RO"/>
        </w:rPr>
        <w:t>Combaterea corup</w:t>
      </w:r>
      <w:r w:rsidR="009E338D" w:rsidRPr="00CD48F9">
        <w:rPr>
          <w:rFonts w:eastAsia="Calibri"/>
          <w:i/>
          <w:lang w:val="ro-RO"/>
        </w:rPr>
        <w:t>ț</w:t>
      </w:r>
      <w:r w:rsidRPr="00CD48F9">
        <w:rPr>
          <w:rFonts w:eastAsia="Calibri"/>
          <w:i/>
          <w:lang w:val="ro-RO"/>
        </w:rPr>
        <w:t>iei la toate nivelurile</w:t>
      </w:r>
      <w:r w:rsidR="00195B42" w:rsidRPr="00CD48F9">
        <w:rPr>
          <w:rFonts w:eastAsia="Calibri"/>
          <w:lang w:val="ro-RO"/>
        </w:rPr>
        <w:t>.</w:t>
      </w:r>
    </w:p>
    <w:p w:rsidR="00342F5E" w:rsidRPr="00CD48F9" w:rsidRDefault="00DF7667" w:rsidP="00CD48F9">
      <w:pPr>
        <w:spacing w:after="120" w:line="276" w:lineRule="auto"/>
        <w:rPr>
          <w:rFonts w:eastAsia="Calibri"/>
          <w:lang w:val="ro-RO"/>
        </w:rPr>
      </w:pPr>
      <w:r w:rsidRPr="00CD48F9">
        <w:rPr>
          <w:rFonts w:eastAsia="Calibri"/>
          <w:lang w:val="ro-RO"/>
        </w:rPr>
        <w:t>L</w:t>
      </w:r>
      <w:r w:rsidR="0069771C" w:rsidRPr="00CD48F9">
        <w:rPr>
          <w:rFonts w:eastAsia="Calibri"/>
          <w:lang w:val="ro-RO"/>
        </w:rPr>
        <w:t>a data de 22 octombrie</w:t>
      </w:r>
      <w:r w:rsidR="00195B42" w:rsidRPr="00CD48F9">
        <w:rPr>
          <w:rFonts w:eastAsia="Calibri"/>
          <w:lang w:val="ro-RO"/>
        </w:rPr>
        <w:t xml:space="preserve"> </w:t>
      </w:r>
      <w:r w:rsidR="0069771C" w:rsidRPr="00CD48F9">
        <w:rPr>
          <w:rFonts w:eastAsia="Calibri"/>
          <w:lang w:val="ro-RO"/>
        </w:rPr>
        <w:t>2019</w:t>
      </w:r>
      <w:r w:rsidR="00474EBD" w:rsidRPr="00CD48F9">
        <w:rPr>
          <w:rFonts w:eastAsia="Calibri"/>
          <w:lang w:val="ro-RO"/>
        </w:rPr>
        <w:t xml:space="preserve">, Comisia Europeană </w:t>
      </w:r>
      <w:r w:rsidR="0069771C" w:rsidRPr="00CD48F9">
        <w:rPr>
          <w:rFonts w:eastAsia="Calibri"/>
          <w:lang w:val="ro-RO"/>
        </w:rPr>
        <w:t>a publicat ultimul raport cu privire la p</w:t>
      </w:r>
      <w:r w:rsidR="007D0D8C" w:rsidRPr="00CD48F9">
        <w:rPr>
          <w:rFonts w:eastAsia="Calibri"/>
          <w:lang w:val="ro-RO"/>
        </w:rPr>
        <w:t>rogresele înregistrare</w:t>
      </w:r>
      <w:r w:rsidR="004A7B14" w:rsidRPr="00CD48F9">
        <w:rPr>
          <w:rFonts w:eastAsia="Calibri"/>
          <w:lang w:val="ro-RO"/>
        </w:rPr>
        <w:t xml:space="preserve"> de Romania î</w:t>
      </w:r>
      <w:r w:rsidR="0069771C" w:rsidRPr="00CD48F9">
        <w:rPr>
          <w:rFonts w:eastAsia="Calibri"/>
          <w:lang w:val="ro-RO"/>
        </w:rPr>
        <w:t>n ca</w:t>
      </w:r>
      <w:r w:rsidR="004A7B14" w:rsidRPr="00CD48F9">
        <w:rPr>
          <w:rFonts w:eastAsia="Calibri"/>
          <w:lang w:val="ro-RO"/>
        </w:rPr>
        <w:t>drul mecanismului de cooperare ș</w:t>
      </w:r>
      <w:r w:rsidR="0069771C" w:rsidRPr="00CD48F9">
        <w:rPr>
          <w:rFonts w:eastAsia="Calibri"/>
          <w:lang w:val="ro-RO"/>
        </w:rPr>
        <w:t>i verificare</w:t>
      </w:r>
      <w:r w:rsidR="004A7B14" w:rsidRPr="00CD48F9">
        <w:rPr>
          <w:rFonts w:eastAsia="Calibri"/>
          <w:lang w:val="ro-RO"/>
        </w:rPr>
        <w:t>, reținând că</w:t>
      </w:r>
      <w:r w:rsidR="0069771C" w:rsidRPr="00CD48F9">
        <w:rPr>
          <w:rFonts w:eastAsia="Calibri"/>
          <w:lang w:val="ro-RO"/>
        </w:rPr>
        <w:t xml:space="preserve"> </w:t>
      </w:r>
      <w:r w:rsidR="0069771C" w:rsidRPr="00CD48F9">
        <w:rPr>
          <w:rFonts w:eastAsia="Calibri"/>
          <w:i/>
          <w:lang w:val="ro-RO"/>
        </w:rPr>
        <w:t xml:space="preserve">“punerea în aplicare a Strategiei naționale anticorupție a continuat la nivel tehnic. Au fost luate măsuri de prevenire a corupției, cum ar fi audituri interne efectuate de fiecare dintre instituțiile publice participante și misiuni de evaluare inter </w:t>
      </w:r>
      <w:proofErr w:type="spellStart"/>
      <w:r w:rsidR="0069771C" w:rsidRPr="00CD48F9">
        <w:rPr>
          <w:rFonts w:eastAsia="Calibri"/>
          <w:i/>
          <w:lang w:val="ro-RO"/>
        </w:rPr>
        <w:t>pares</w:t>
      </w:r>
      <w:proofErr w:type="spellEnd"/>
      <w:r w:rsidR="0069771C" w:rsidRPr="00CD48F9">
        <w:rPr>
          <w:rFonts w:eastAsia="Calibri"/>
          <w:i/>
          <w:lang w:val="ro-RO"/>
        </w:rPr>
        <w:t xml:space="preserve"> planificate în 2018, atât în cadrul instituțiilor centrale, cât și la nivel local (în consi</w:t>
      </w:r>
      <w:r w:rsidR="00C768B5" w:rsidRPr="00CD48F9">
        <w:rPr>
          <w:rFonts w:eastAsia="Calibri"/>
          <w:i/>
          <w:lang w:val="ro-RO"/>
        </w:rPr>
        <w:t>liile județene și în primării).(...)</w:t>
      </w:r>
      <w:r w:rsidR="0069771C" w:rsidRPr="00CD48F9">
        <w:rPr>
          <w:rFonts w:eastAsia="Calibri"/>
          <w:i/>
          <w:lang w:val="ro-RO"/>
        </w:rPr>
        <w:t xml:space="preserve"> Unul dintre obiectivele strategiei este de a îmbunătăți rezultatele în ceea ce privește lupta împotriva corupției prin aplicarea de sancțiuni penale și administrative</w:t>
      </w:r>
      <w:r w:rsidR="00195B42" w:rsidRPr="00CD48F9">
        <w:rPr>
          <w:rFonts w:eastAsia="Calibri"/>
          <w:lang w:val="ro-RO"/>
        </w:rPr>
        <w:t>”</w:t>
      </w:r>
      <w:r w:rsidR="00195B42" w:rsidRPr="00CD48F9">
        <w:rPr>
          <w:rStyle w:val="FootnoteReference"/>
          <w:rFonts w:eastAsia="Calibri"/>
          <w:lang w:val="ro-RO"/>
        </w:rPr>
        <w:footnoteReference w:id="4"/>
      </w:r>
      <w:r w:rsidR="00195B42" w:rsidRPr="00CD48F9">
        <w:rPr>
          <w:rFonts w:eastAsia="Calibri"/>
          <w:lang w:val="ro-RO"/>
        </w:rPr>
        <w:t xml:space="preserve">. </w:t>
      </w:r>
      <w:r w:rsidR="007D0D8C" w:rsidRPr="00CD48F9">
        <w:rPr>
          <w:rFonts w:eastAsia="Calibri"/>
          <w:lang w:val="ro-RO"/>
        </w:rPr>
        <w:t>Totodată, a subliniat lipsa sprijinului politic în procesul de implementare al SNA 2016-2020.</w:t>
      </w:r>
    </w:p>
    <w:p w:rsidR="00CD48F9" w:rsidRPr="00CD48F9" w:rsidRDefault="00CD48F9" w:rsidP="00CD48F9">
      <w:pPr>
        <w:spacing w:after="120" w:line="276" w:lineRule="auto"/>
        <w:rPr>
          <w:rFonts w:eastAsia="Calibri"/>
          <w:lang w:val="ro-RO"/>
        </w:rPr>
      </w:pPr>
    </w:p>
    <w:p w:rsidR="00CB03C6" w:rsidRPr="00CD48F9" w:rsidRDefault="009462A6" w:rsidP="00972E3A">
      <w:pPr>
        <w:pStyle w:val="Title"/>
        <w:spacing w:before="0" w:after="120" w:line="276" w:lineRule="auto"/>
        <w:jc w:val="both"/>
        <w:rPr>
          <w:rFonts w:ascii="Trebuchet MS" w:hAnsi="Trebuchet MS"/>
          <w:sz w:val="22"/>
          <w:szCs w:val="22"/>
          <w:lang w:val="ro-RO"/>
        </w:rPr>
      </w:pPr>
      <w:r w:rsidRPr="00CD48F9">
        <w:rPr>
          <w:rFonts w:ascii="Trebuchet MS" w:hAnsi="Trebuchet MS"/>
          <w:sz w:val="22"/>
          <w:szCs w:val="22"/>
          <w:lang w:val="ro-RO"/>
        </w:rPr>
        <w:t>2.3</w:t>
      </w:r>
      <w:r w:rsidR="00CB03C6" w:rsidRPr="00CD48F9">
        <w:rPr>
          <w:rFonts w:ascii="Trebuchet MS" w:hAnsi="Trebuchet MS"/>
          <w:sz w:val="22"/>
          <w:szCs w:val="22"/>
          <w:lang w:val="ro-RO"/>
        </w:rPr>
        <w:t>.</w:t>
      </w:r>
      <w:r w:rsidR="00EB5D0D" w:rsidRPr="00CD48F9">
        <w:rPr>
          <w:rFonts w:ascii="Trebuchet MS" w:hAnsi="Trebuchet MS"/>
          <w:sz w:val="22"/>
          <w:szCs w:val="22"/>
          <w:lang w:val="ro-RO"/>
        </w:rPr>
        <w:t xml:space="preserve"> </w:t>
      </w:r>
      <w:proofErr w:type="spellStart"/>
      <w:r w:rsidR="000A7851" w:rsidRPr="00CD48F9">
        <w:rPr>
          <w:rFonts w:ascii="Trebuchet MS" w:hAnsi="Trebuchet MS"/>
          <w:sz w:val="22"/>
          <w:szCs w:val="22"/>
          <w:lang w:val="ro-RO"/>
        </w:rPr>
        <w:t>Activităţile</w:t>
      </w:r>
      <w:proofErr w:type="spellEnd"/>
      <w:r w:rsidR="007E25FD" w:rsidRPr="00CD48F9">
        <w:rPr>
          <w:rFonts w:ascii="Trebuchet MS" w:hAnsi="Trebuchet MS"/>
          <w:sz w:val="22"/>
          <w:szCs w:val="22"/>
          <w:lang w:val="ro-RO"/>
        </w:rPr>
        <w:t xml:space="preserve"> Secretariatului t</w:t>
      </w:r>
      <w:r w:rsidR="00EB5D0D" w:rsidRPr="00CD48F9">
        <w:rPr>
          <w:rFonts w:ascii="Trebuchet MS" w:hAnsi="Trebuchet MS"/>
          <w:sz w:val="22"/>
          <w:szCs w:val="22"/>
          <w:lang w:val="ro-RO"/>
        </w:rPr>
        <w:t>ehnic al SNA</w:t>
      </w:r>
      <w:bookmarkEnd w:id="4"/>
    </w:p>
    <w:p w:rsidR="00C1236D" w:rsidRPr="00CD48F9" w:rsidRDefault="005A610C" w:rsidP="00972E3A">
      <w:pPr>
        <w:pStyle w:val="Title"/>
        <w:spacing w:before="0" w:after="120" w:line="276" w:lineRule="auto"/>
        <w:jc w:val="both"/>
        <w:rPr>
          <w:rFonts w:ascii="Trebuchet MS" w:hAnsi="Trebuchet MS"/>
          <w:sz w:val="22"/>
          <w:szCs w:val="22"/>
          <w:lang w:val="ro-RO"/>
        </w:rPr>
      </w:pPr>
      <w:bookmarkStart w:id="5" w:name="_Toc3376508"/>
      <w:r w:rsidRPr="00CD48F9">
        <w:rPr>
          <w:rFonts w:ascii="Trebuchet MS" w:hAnsi="Trebuchet MS"/>
          <w:sz w:val="22"/>
          <w:szCs w:val="22"/>
          <w:lang w:val="ro-RO"/>
        </w:rPr>
        <w:t>2.3.1. A</w:t>
      </w:r>
      <w:r w:rsidR="007229AA" w:rsidRPr="00CD48F9">
        <w:rPr>
          <w:rFonts w:ascii="Trebuchet MS" w:hAnsi="Trebuchet MS"/>
          <w:sz w:val="22"/>
          <w:szCs w:val="22"/>
          <w:lang w:val="ro-RO"/>
        </w:rPr>
        <w:t>cordarea de a</w:t>
      </w:r>
      <w:r w:rsidRPr="00CD48F9">
        <w:rPr>
          <w:rFonts w:ascii="Trebuchet MS" w:hAnsi="Trebuchet MS"/>
          <w:sz w:val="22"/>
          <w:szCs w:val="22"/>
          <w:lang w:val="ro-RO"/>
        </w:rPr>
        <w:t>sistență</w:t>
      </w:r>
      <w:bookmarkEnd w:id="5"/>
      <w:r w:rsidRPr="00CD48F9">
        <w:rPr>
          <w:rFonts w:ascii="Trebuchet MS" w:hAnsi="Trebuchet MS"/>
          <w:sz w:val="22"/>
          <w:szCs w:val="22"/>
          <w:lang w:val="ro-RO"/>
        </w:rPr>
        <w:t xml:space="preserve"> </w:t>
      </w:r>
    </w:p>
    <w:p w:rsidR="00AD2985" w:rsidRPr="00CD48F9" w:rsidRDefault="000A7851" w:rsidP="00972E3A">
      <w:pPr>
        <w:spacing w:after="120" w:line="276" w:lineRule="auto"/>
        <w:rPr>
          <w:lang w:val="ro-RO"/>
        </w:rPr>
      </w:pPr>
      <w:r w:rsidRPr="00CD48F9">
        <w:rPr>
          <w:lang w:val="ro-RO"/>
        </w:rPr>
        <w:t xml:space="preserve">Secretariatul tehnic al SNA a continuat să ofere îndrumare </w:t>
      </w:r>
      <w:proofErr w:type="spellStart"/>
      <w:r w:rsidRPr="00CD48F9">
        <w:rPr>
          <w:lang w:val="ro-RO"/>
        </w:rPr>
        <w:t>şi</w:t>
      </w:r>
      <w:proofErr w:type="spellEnd"/>
      <w:r w:rsidRPr="00CD48F9">
        <w:rPr>
          <w:lang w:val="ro-RO"/>
        </w:rPr>
        <w:t xml:space="preserve"> suport </w:t>
      </w:r>
      <w:r w:rsidR="004A7B14" w:rsidRPr="00CD48F9">
        <w:rPr>
          <w:lang w:val="ro-RO"/>
        </w:rPr>
        <w:t>în proc</w:t>
      </w:r>
      <w:r w:rsidR="00DB2C0C" w:rsidRPr="00CD48F9">
        <w:rPr>
          <w:lang w:val="ro-RO"/>
        </w:rPr>
        <w:t>esul de implementare al SNA 2016-2020.</w:t>
      </w:r>
      <w:r w:rsidR="004A7B14" w:rsidRPr="00CD48F9">
        <w:rPr>
          <w:lang w:val="ro-RO"/>
        </w:rPr>
        <w:t xml:space="preserve"> </w:t>
      </w:r>
      <w:r w:rsidR="00AD2985" w:rsidRPr="00CD48F9">
        <w:rPr>
          <w:lang w:val="ro-RO"/>
        </w:rPr>
        <w:t>ST SNA a sprijinit în continuare demersul Ministerului Culturii și Identității Naționale</w:t>
      </w:r>
      <w:r w:rsidR="00AD2985" w:rsidRPr="00CD48F9">
        <w:rPr>
          <w:rStyle w:val="FootnoteReference"/>
          <w:lang w:val="ro-RO"/>
        </w:rPr>
        <w:footnoteReference w:id="5"/>
      </w:r>
      <w:r w:rsidR="004A7B14" w:rsidRPr="00CD48F9">
        <w:rPr>
          <w:lang w:val="ro-RO"/>
        </w:rPr>
        <w:t xml:space="preserve"> </w:t>
      </w:r>
      <w:r w:rsidR="00AD2985" w:rsidRPr="00CD48F9">
        <w:rPr>
          <w:lang w:val="ro-RO"/>
        </w:rPr>
        <w:t xml:space="preserve">de a derula misiuni de evaluare tematică, informale, în cadrul aparatului propriu al instituției. Astfel, MJ a participat la două misiuni de evaluare </w:t>
      </w:r>
      <w:r w:rsidR="00AD2985" w:rsidRPr="00CD48F9">
        <w:rPr>
          <w:lang w:val="ro-RO"/>
        </w:rPr>
        <w:lastRenderedPageBreak/>
        <w:t xml:space="preserve">tematică, ce au vizat codul etic, conflictele de interese, evaluarea riscurilor de </w:t>
      </w:r>
      <w:proofErr w:type="spellStart"/>
      <w:r w:rsidR="00AD2985" w:rsidRPr="00CD48F9">
        <w:rPr>
          <w:lang w:val="ro-RO"/>
        </w:rPr>
        <w:t>corupţie</w:t>
      </w:r>
      <w:proofErr w:type="spellEnd"/>
      <w:r w:rsidR="00AD2985" w:rsidRPr="00CD48F9">
        <w:rPr>
          <w:lang w:val="ro-RO"/>
        </w:rPr>
        <w:t xml:space="preserve"> </w:t>
      </w:r>
      <w:proofErr w:type="spellStart"/>
      <w:r w:rsidR="00AD2985" w:rsidRPr="00CD48F9">
        <w:rPr>
          <w:lang w:val="ro-RO"/>
        </w:rPr>
        <w:t>şi</w:t>
      </w:r>
      <w:proofErr w:type="spellEnd"/>
      <w:r w:rsidR="00AD2985" w:rsidRPr="00CD48F9">
        <w:rPr>
          <w:lang w:val="ro-RO"/>
        </w:rPr>
        <w:t xml:space="preserve"> a incidentelo</w:t>
      </w:r>
      <w:r w:rsidR="00865042" w:rsidRPr="00CD48F9">
        <w:rPr>
          <w:lang w:val="ro-RO"/>
        </w:rPr>
        <w:t>r de integritate. Reprezentantul</w:t>
      </w:r>
      <w:r w:rsidR="00AD2985" w:rsidRPr="00CD48F9">
        <w:rPr>
          <w:lang w:val="ro-RO"/>
        </w:rPr>
        <w:t xml:space="preserve"> MJ a sprijinit demersul prin oferirea </w:t>
      </w:r>
      <w:proofErr w:type="spellStart"/>
      <w:r w:rsidR="00AD2985" w:rsidRPr="00CD48F9">
        <w:rPr>
          <w:lang w:val="ro-RO"/>
        </w:rPr>
        <w:t>experienţei</w:t>
      </w:r>
      <w:proofErr w:type="spellEnd"/>
      <w:r w:rsidR="00AD2985" w:rsidRPr="00CD48F9">
        <w:rPr>
          <w:lang w:val="ro-RO"/>
        </w:rPr>
        <w:t xml:space="preserve"> proprii a ST SNA</w:t>
      </w:r>
      <w:r w:rsidR="0001544E" w:rsidRPr="00CD48F9">
        <w:rPr>
          <w:lang w:val="ro-RO"/>
        </w:rPr>
        <w:t>,</w:t>
      </w:r>
      <w:r w:rsidR="00AD2985" w:rsidRPr="00CD48F9">
        <w:rPr>
          <w:lang w:val="ro-RO"/>
        </w:rPr>
        <w:t xml:space="preserve"> de a organiza as</w:t>
      </w:r>
      <w:r w:rsidR="0001544E" w:rsidRPr="00CD48F9">
        <w:rPr>
          <w:lang w:val="ro-RO"/>
        </w:rPr>
        <w:t>tfel de misiuni</w:t>
      </w:r>
      <w:r w:rsidR="00AD2985" w:rsidRPr="00CD48F9">
        <w:rPr>
          <w:lang w:val="ro-RO"/>
        </w:rPr>
        <w:t xml:space="preserve">, fără a avea rol de evaluator. Misiunile de evaluare s-au </w:t>
      </w:r>
      <w:proofErr w:type="spellStart"/>
      <w:r w:rsidR="00AD2985" w:rsidRPr="00CD48F9">
        <w:rPr>
          <w:lang w:val="ro-RO"/>
        </w:rPr>
        <w:t>desfăşurat</w:t>
      </w:r>
      <w:proofErr w:type="spellEnd"/>
      <w:r w:rsidR="00AD2985" w:rsidRPr="00CD48F9">
        <w:rPr>
          <w:lang w:val="ro-RO"/>
        </w:rPr>
        <w:t xml:space="preserve"> în baza ches</w:t>
      </w:r>
      <w:r w:rsidR="0001544E" w:rsidRPr="00CD48F9">
        <w:rPr>
          <w:lang w:val="ro-RO"/>
        </w:rPr>
        <w:t xml:space="preserve">tionarului tematic de evaluare, </w:t>
      </w:r>
      <w:r w:rsidR="00AD2985" w:rsidRPr="00CD48F9">
        <w:rPr>
          <w:lang w:val="ro-RO"/>
        </w:rPr>
        <w:t xml:space="preserve">la următoarele </w:t>
      </w:r>
      <w:proofErr w:type="spellStart"/>
      <w:r w:rsidR="00AD2985" w:rsidRPr="00CD48F9">
        <w:rPr>
          <w:lang w:val="ro-RO"/>
        </w:rPr>
        <w:t>instituţii</w:t>
      </w:r>
      <w:proofErr w:type="spellEnd"/>
      <w:r w:rsidR="00AD2985" w:rsidRPr="00CD48F9">
        <w:rPr>
          <w:lang w:val="ro-RO"/>
        </w:rPr>
        <w:t xml:space="preserve">: </w:t>
      </w:r>
    </w:p>
    <w:p w:rsidR="00AD2985" w:rsidRPr="00CD48F9" w:rsidRDefault="00AD2985" w:rsidP="0080034B">
      <w:pPr>
        <w:pStyle w:val="ListParagraph"/>
        <w:numPr>
          <w:ilvl w:val="0"/>
          <w:numId w:val="18"/>
        </w:numPr>
        <w:tabs>
          <w:tab w:val="center" w:pos="4536"/>
          <w:tab w:val="right" w:pos="9072"/>
        </w:tabs>
        <w:spacing w:after="120" w:line="276" w:lineRule="auto"/>
        <w:rPr>
          <w:lang w:val="ro-RO"/>
        </w:rPr>
      </w:pPr>
      <w:r w:rsidRPr="00CD48F9">
        <w:rPr>
          <w:lang w:val="ro-RO"/>
        </w:rPr>
        <w:t>Muzeul Național de Ist</w:t>
      </w:r>
      <w:r w:rsidR="0001544E" w:rsidRPr="00CD48F9">
        <w:rPr>
          <w:lang w:val="ro-RO"/>
        </w:rPr>
        <w:t>orie Naturală Grigore Antipa</w:t>
      </w:r>
      <w:r w:rsidR="0043424D" w:rsidRPr="00CD48F9">
        <w:rPr>
          <w:lang w:val="ro-RO"/>
        </w:rPr>
        <w:t xml:space="preserve"> (iunie 2019)</w:t>
      </w:r>
      <w:r w:rsidRPr="00CD48F9">
        <w:rPr>
          <w:lang w:val="ro-RO"/>
        </w:rPr>
        <w:t>;</w:t>
      </w:r>
    </w:p>
    <w:p w:rsidR="00AD2985" w:rsidRPr="00CD48F9" w:rsidRDefault="00AD2985" w:rsidP="0080034B">
      <w:pPr>
        <w:pStyle w:val="ListParagraph"/>
        <w:numPr>
          <w:ilvl w:val="0"/>
          <w:numId w:val="18"/>
        </w:numPr>
        <w:tabs>
          <w:tab w:val="center" w:pos="4536"/>
          <w:tab w:val="right" w:pos="9072"/>
        </w:tabs>
        <w:spacing w:after="120" w:line="276" w:lineRule="auto"/>
        <w:rPr>
          <w:lang w:val="ro-RO"/>
        </w:rPr>
      </w:pPr>
      <w:r w:rsidRPr="00CD48F9">
        <w:rPr>
          <w:lang w:val="ro-RO"/>
        </w:rPr>
        <w:t xml:space="preserve">Muzeul </w:t>
      </w:r>
      <w:proofErr w:type="spellStart"/>
      <w:r w:rsidRPr="00CD48F9">
        <w:rPr>
          <w:lang w:val="ro-RO"/>
        </w:rPr>
        <w:t>N</w:t>
      </w:r>
      <w:r w:rsidR="0001544E" w:rsidRPr="00CD48F9">
        <w:rPr>
          <w:lang w:val="ro-RO"/>
        </w:rPr>
        <w:t>aţional</w:t>
      </w:r>
      <w:proofErr w:type="spellEnd"/>
      <w:r w:rsidR="0001544E" w:rsidRPr="00CD48F9">
        <w:rPr>
          <w:lang w:val="ro-RO"/>
        </w:rPr>
        <w:t xml:space="preserve"> de Artă al României</w:t>
      </w:r>
      <w:r w:rsidR="0043424D" w:rsidRPr="00CD48F9">
        <w:rPr>
          <w:lang w:val="ro-RO"/>
        </w:rPr>
        <w:t xml:space="preserve"> (decembrie 2019)</w:t>
      </w:r>
      <w:r w:rsidRPr="00CD48F9">
        <w:rPr>
          <w:lang w:val="ro-RO"/>
        </w:rPr>
        <w:t xml:space="preserve">. </w:t>
      </w:r>
    </w:p>
    <w:p w:rsidR="008D7E05" w:rsidRPr="00CD48F9" w:rsidRDefault="00CE2BD6" w:rsidP="00972E3A">
      <w:pPr>
        <w:spacing w:after="120" w:line="276" w:lineRule="auto"/>
        <w:rPr>
          <w:lang w:val="ro-RO"/>
        </w:rPr>
      </w:pPr>
      <w:r w:rsidRPr="00CD48F9">
        <w:rPr>
          <w:rFonts w:eastAsia="Calibri"/>
          <w:lang w:val="ro-RO"/>
        </w:rPr>
        <w:t>MJ și Camera de Comerț Americană în Romania (</w:t>
      </w:r>
      <w:proofErr w:type="spellStart"/>
      <w:r w:rsidRPr="00CD48F9">
        <w:rPr>
          <w:rFonts w:eastAsia="Calibri"/>
          <w:lang w:val="ro-RO"/>
        </w:rPr>
        <w:t>AmCham</w:t>
      </w:r>
      <w:proofErr w:type="spellEnd"/>
      <w:r w:rsidRPr="00CD48F9">
        <w:rPr>
          <w:rFonts w:eastAsia="Calibri"/>
          <w:lang w:val="ro-RO"/>
        </w:rPr>
        <w:t>) au continuat proiectul privind consolidarea integrității în întreprind</w:t>
      </w:r>
      <w:r w:rsidR="00FE4E5C" w:rsidRPr="00CD48F9">
        <w:rPr>
          <w:rFonts w:eastAsia="Calibri"/>
          <w:lang w:val="ro-RO"/>
        </w:rPr>
        <w:t>erile publice (</w:t>
      </w:r>
      <w:r w:rsidRPr="00CD48F9">
        <w:rPr>
          <w:rFonts w:eastAsia="Calibri"/>
          <w:lang w:val="ro-RO"/>
        </w:rPr>
        <w:t xml:space="preserve">prezentarea </w:t>
      </w:r>
      <w:proofErr w:type="spellStart"/>
      <w:r w:rsidRPr="00CD48F9">
        <w:rPr>
          <w:rFonts w:eastAsia="Calibri"/>
          <w:lang w:val="ro-RO"/>
        </w:rPr>
        <w:t>şi</w:t>
      </w:r>
      <w:proofErr w:type="spellEnd"/>
      <w:r w:rsidRPr="00CD48F9">
        <w:rPr>
          <w:rFonts w:eastAsia="Calibri"/>
          <w:lang w:val="ro-RO"/>
        </w:rPr>
        <w:t xml:space="preserve"> diseminarea de către organizatori a instrumentelor proprii dezvoltate, precum metodologia standard de evaluare a riscurilor de </w:t>
      </w:r>
      <w:proofErr w:type="spellStart"/>
      <w:r w:rsidRPr="00CD48F9">
        <w:rPr>
          <w:rFonts w:eastAsia="Calibri"/>
          <w:lang w:val="ro-RO"/>
        </w:rPr>
        <w:t>corupţie</w:t>
      </w:r>
      <w:proofErr w:type="spellEnd"/>
      <w:r w:rsidRPr="00CD48F9">
        <w:rPr>
          <w:rFonts w:eastAsia="Calibri"/>
          <w:lang w:val="ro-RO"/>
        </w:rPr>
        <w:t xml:space="preserve"> </w:t>
      </w:r>
      <w:proofErr w:type="spellStart"/>
      <w:r w:rsidRPr="00CD48F9">
        <w:rPr>
          <w:rFonts w:eastAsia="Calibri"/>
          <w:lang w:val="ro-RO"/>
        </w:rPr>
        <w:t>şi</w:t>
      </w:r>
      <w:proofErr w:type="spellEnd"/>
      <w:r w:rsidRPr="00CD48F9">
        <w:rPr>
          <w:rFonts w:eastAsia="Calibri"/>
          <w:lang w:val="ro-RO"/>
        </w:rPr>
        <w:t xml:space="preserve"> metodologia de evaluare a incidentelor de integritate, Codul de </w:t>
      </w:r>
      <w:proofErr w:type="spellStart"/>
      <w:r w:rsidRPr="00CD48F9">
        <w:rPr>
          <w:rFonts w:eastAsia="Calibri"/>
          <w:lang w:val="ro-RO"/>
        </w:rPr>
        <w:t>guvernanţ</w:t>
      </w:r>
      <w:r w:rsidR="004458A4" w:rsidRPr="00CD48F9">
        <w:rPr>
          <w:rFonts w:eastAsia="Calibri"/>
          <w:lang w:val="ro-RO"/>
        </w:rPr>
        <w:t>ă</w:t>
      </w:r>
      <w:proofErr w:type="spellEnd"/>
      <w:r w:rsidRPr="00CD48F9">
        <w:rPr>
          <w:rFonts w:eastAsia="Calibri"/>
          <w:lang w:val="ro-RO"/>
        </w:rPr>
        <w:t xml:space="preserve"> corporativă - 2010, Principiile </w:t>
      </w:r>
      <w:proofErr w:type="spellStart"/>
      <w:r w:rsidRPr="00CD48F9">
        <w:rPr>
          <w:rFonts w:eastAsia="Calibri"/>
          <w:lang w:val="ro-RO"/>
        </w:rPr>
        <w:t>anticorupţie</w:t>
      </w:r>
      <w:proofErr w:type="spellEnd"/>
      <w:r w:rsidRPr="00CD48F9">
        <w:rPr>
          <w:rFonts w:eastAsia="Calibri"/>
          <w:lang w:val="ro-RO"/>
        </w:rPr>
        <w:t xml:space="preserve"> – 2012, Ghidul de </w:t>
      </w:r>
      <w:proofErr w:type="spellStart"/>
      <w:r w:rsidRPr="00CD48F9">
        <w:rPr>
          <w:rFonts w:eastAsia="Calibri"/>
          <w:lang w:val="ro-RO"/>
        </w:rPr>
        <w:t>investiţii</w:t>
      </w:r>
      <w:proofErr w:type="spellEnd"/>
      <w:r w:rsidRPr="00CD48F9">
        <w:rPr>
          <w:rFonts w:eastAsia="Calibri"/>
          <w:lang w:val="ro-RO"/>
        </w:rPr>
        <w:t xml:space="preserve"> în comunitate – 2015, Ghidul de evaluare a </w:t>
      </w:r>
      <w:proofErr w:type="spellStart"/>
      <w:r w:rsidRPr="00CD48F9">
        <w:rPr>
          <w:rFonts w:eastAsia="Calibri"/>
          <w:lang w:val="ro-RO"/>
        </w:rPr>
        <w:t>integrităţii</w:t>
      </w:r>
      <w:proofErr w:type="spellEnd"/>
      <w:r w:rsidRPr="00CD48F9">
        <w:rPr>
          <w:rFonts w:eastAsia="Calibri"/>
          <w:lang w:val="ro-RO"/>
        </w:rPr>
        <w:t xml:space="preserve"> partenerilor de afaceri – 2016, Ghidul privind conflictele de interese – 2017</w:t>
      </w:r>
      <w:r w:rsidR="00FE4E5C" w:rsidRPr="00CD48F9">
        <w:rPr>
          <w:rFonts w:eastAsia="Calibri"/>
          <w:lang w:val="ro-RO"/>
        </w:rPr>
        <w:t>)</w:t>
      </w:r>
      <w:r w:rsidRPr="00CD48F9">
        <w:rPr>
          <w:rFonts w:eastAsia="Calibri"/>
          <w:lang w:val="ro-RO"/>
        </w:rPr>
        <w:t>.</w:t>
      </w:r>
      <w:r w:rsidR="00FE4E5C" w:rsidRPr="00CD48F9">
        <w:rPr>
          <w:rFonts w:eastAsia="Calibri"/>
          <w:lang w:val="ro-RO"/>
        </w:rPr>
        <w:t xml:space="preserve"> În aprilie și noiembrie 2019, au fost organizate două sesiune de formare a formatorilor, la care au participat reprezentanți ai întreprinderilor publice subordonate, coordonate sau aflate sub autoritatea Ministerului Finanțelor Publice și Ministerului Economiei. Temele abordate au fost:</w:t>
      </w:r>
      <w:r w:rsidR="00FE4E5C" w:rsidRPr="00CD48F9">
        <w:rPr>
          <w:lang w:val="ro-RO"/>
        </w:rPr>
        <w:t xml:space="preserve"> conformitatea, etica în afaceri, conflictele de interese, mita, stimulentele, ospitalitatea, intermedierea și lobby-</w:t>
      </w:r>
      <w:proofErr w:type="spellStart"/>
      <w:r w:rsidR="00FE4E5C" w:rsidRPr="00CD48F9">
        <w:rPr>
          <w:lang w:val="ro-RO"/>
        </w:rPr>
        <w:t>ul</w:t>
      </w:r>
      <w:proofErr w:type="spellEnd"/>
      <w:r w:rsidR="00FE4E5C" w:rsidRPr="00CD48F9">
        <w:rPr>
          <w:lang w:val="ro-RO"/>
        </w:rPr>
        <w:t>.</w:t>
      </w:r>
      <w:r w:rsidR="008D7E05" w:rsidRPr="00CD48F9">
        <w:rPr>
          <w:lang w:val="ro-RO"/>
        </w:rPr>
        <w:t xml:space="preserve"> </w:t>
      </w:r>
      <w:r w:rsidR="008D7E05" w:rsidRPr="00CD48F9">
        <w:rPr>
          <w:rFonts w:eastAsia="Calibri"/>
          <w:noProof/>
          <w:lang w:val="ro-RO"/>
        </w:rPr>
        <w:t xml:space="preserve">În urma discuţiilor purtate, a fost dezvoltat documentul intitulat </w:t>
      </w:r>
      <w:r w:rsidR="008D7E05" w:rsidRPr="00CD48F9">
        <w:rPr>
          <w:rFonts w:eastAsia="Calibri"/>
          <w:i/>
          <w:noProof/>
          <w:lang w:val="ro-RO"/>
        </w:rPr>
        <w:t>„Promovarea unei culturi de integritate în cadrul întreprinderilor publice”</w:t>
      </w:r>
      <w:r w:rsidR="008D7E05" w:rsidRPr="00CD48F9">
        <w:rPr>
          <w:rFonts w:eastAsia="Calibri"/>
          <w:noProof/>
          <w:lang w:val="ro-RO"/>
        </w:rPr>
        <w:t xml:space="preserve">, ce prezintă aspecte de ordin procedural referitoare la: respectarea obligaţiilor stabilite de SNA 2016-2020 în sarcina întreprinderilor publice; promovarea unei politici interne de integritate la nivel organizaţional. Documentul urmează a fi finalizat cu participanţii la acest demers ce </w:t>
      </w:r>
      <w:r w:rsidR="008D7E05" w:rsidRPr="00CD48F9">
        <w:rPr>
          <w:lang w:val="ro-RO"/>
        </w:rPr>
        <w:t>va continua și în anul 2020.</w:t>
      </w:r>
    </w:p>
    <w:p w:rsidR="008B36A9" w:rsidRPr="00CD48F9" w:rsidRDefault="00865042" w:rsidP="00972E3A">
      <w:pPr>
        <w:spacing w:after="120" w:line="276" w:lineRule="auto"/>
        <w:rPr>
          <w:lang w:val="ro-RO"/>
        </w:rPr>
      </w:pPr>
      <w:bookmarkStart w:id="6" w:name="_Toc3376509"/>
      <w:r w:rsidRPr="00CD48F9">
        <w:rPr>
          <w:lang w:val="ro-RO"/>
        </w:rPr>
        <w:t>Î</w:t>
      </w:r>
      <w:r w:rsidR="008B36A9" w:rsidRPr="00CD48F9">
        <w:rPr>
          <w:lang w:val="ro-RO"/>
        </w:rPr>
        <w:t xml:space="preserve">n cursul anului 2019, ST SNA a sprijinit Agenția Națională a Funcționarilor Publici în derularea proiectului POCA </w:t>
      </w:r>
      <w:r w:rsidR="008B36A9" w:rsidRPr="00CD48F9">
        <w:rPr>
          <w:i/>
          <w:lang w:val="ro-RO"/>
        </w:rPr>
        <w:t xml:space="preserve">„Etică – </w:t>
      </w:r>
      <w:proofErr w:type="spellStart"/>
      <w:r w:rsidR="008B36A9" w:rsidRPr="00CD48F9">
        <w:rPr>
          <w:i/>
          <w:lang w:val="ro-RO"/>
        </w:rPr>
        <w:t>Eficienţă</w:t>
      </w:r>
      <w:proofErr w:type="spellEnd"/>
      <w:r w:rsidR="008B36A9" w:rsidRPr="00CD48F9">
        <w:rPr>
          <w:i/>
          <w:lang w:val="ro-RO"/>
        </w:rPr>
        <w:t xml:space="preserve">, </w:t>
      </w:r>
      <w:proofErr w:type="spellStart"/>
      <w:r w:rsidR="008B36A9" w:rsidRPr="00CD48F9">
        <w:rPr>
          <w:i/>
          <w:lang w:val="ro-RO"/>
        </w:rPr>
        <w:t>Transparenţă</w:t>
      </w:r>
      <w:proofErr w:type="spellEnd"/>
      <w:r w:rsidR="008B36A9" w:rsidRPr="00CD48F9">
        <w:rPr>
          <w:i/>
          <w:lang w:val="ro-RO"/>
        </w:rPr>
        <w:t xml:space="preserve"> </w:t>
      </w:r>
      <w:proofErr w:type="spellStart"/>
      <w:r w:rsidR="008B36A9" w:rsidRPr="00CD48F9">
        <w:rPr>
          <w:i/>
          <w:lang w:val="ro-RO"/>
        </w:rPr>
        <w:t>şi</w:t>
      </w:r>
      <w:proofErr w:type="spellEnd"/>
      <w:r w:rsidR="008B36A9" w:rsidRPr="00CD48F9">
        <w:rPr>
          <w:i/>
          <w:lang w:val="ro-RO"/>
        </w:rPr>
        <w:t xml:space="preserve"> Interes pentru Conduita din </w:t>
      </w:r>
      <w:proofErr w:type="spellStart"/>
      <w:r w:rsidR="008B36A9" w:rsidRPr="00CD48F9">
        <w:rPr>
          <w:i/>
          <w:lang w:val="ro-RO"/>
        </w:rPr>
        <w:t>Administraţie</w:t>
      </w:r>
      <w:proofErr w:type="spellEnd"/>
      <w:r w:rsidR="008B36A9" w:rsidRPr="00CD48F9">
        <w:rPr>
          <w:i/>
          <w:lang w:val="ro-RO"/>
        </w:rPr>
        <w:t>”</w:t>
      </w:r>
      <w:r w:rsidR="008B36A9" w:rsidRPr="00CD48F9">
        <w:rPr>
          <w:lang w:val="ro-RO"/>
        </w:rPr>
        <w:t xml:space="preserve">, cod SIPOCA 63, ce are drept scop dezvoltarea </w:t>
      </w:r>
      <w:proofErr w:type="spellStart"/>
      <w:r w:rsidR="008B36A9" w:rsidRPr="00CD48F9">
        <w:rPr>
          <w:lang w:val="ro-RO"/>
        </w:rPr>
        <w:t>capacităţii</w:t>
      </w:r>
      <w:proofErr w:type="spellEnd"/>
      <w:r w:rsidR="008B36A9" w:rsidRPr="00CD48F9">
        <w:rPr>
          <w:lang w:val="ro-RO"/>
        </w:rPr>
        <w:t xml:space="preserve"> </w:t>
      </w:r>
      <w:proofErr w:type="spellStart"/>
      <w:r w:rsidR="008B36A9" w:rsidRPr="00CD48F9">
        <w:rPr>
          <w:lang w:val="ro-RO"/>
        </w:rPr>
        <w:t>autorităţilor</w:t>
      </w:r>
      <w:proofErr w:type="spellEnd"/>
      <w:r w:rsidR="008B36A9" w:rsidRPr="00CD48F9">
        <w:rPr>
          <w:lang w:val="ro-RO"/>
        </w:rPr>
        <w:t xml:space="preserve"> </w:t>
      </w:r>
      <w:proofErr w:type="spellStart"/>
      <w:r w:rsidR="008B36A9" w:rsidRPr="00CD48F9">
        <w:rPr>
          <w:lang w:val="ro-RO"/>
        </w:rPr>
        <w:t>şi</w:t>
      </w:r>
      <w:proofErr w:type="spellEnd"/>
      <w:r w:rsidR="008B36A9" w:rsidRPr="00CD48F9">
        <w:rPr>
          <w:lang w:val="ro-RO"/>
        </w:rPr>
        <w:t xml:space="preserve"> a </w:t>
      </w:r>
      <w:proofErr w:type="spellStart"/>
      <w:r w:rsidR="008B36A9" w:rsidRPr="00CD48F9">
        <w:rPr>
          <w:lang w:val="ro-RO"/>
        </w:rPr>
        <w:t>instituţiilor</w:t>
      </w:r>
      <w:proofErr w:type="spellEnd"/>
      <w:r w:rsidR="008B36A9" w:rsidRPr="00CD48F9">
        <w:rPr>
          <w:lang w:val="ro-RO"/>
        </w:rPr>
        <w:t xml:space="preserve"> publice de a promova valori precum cinstea, probitatea sau onestitatea, prin </w:t>
      </w:r>
      <w:proofErr w:type="spellStart"/>
      <w:r w:rsidR="008B36A9" w:rsidRPr="00CD48F9">
        <w:rPr>
          <w:lang w:val="ro-RO"/>
        </w:rPr>
        <w:t>creşterea</w:t>
      </w:r>
      <w:proofErr w:type="spellEnd"/>
      <w:r w:rsidR="008B36A9" w:rsidRPr="00CD48F9">
        <w:rPr>
          <w:lang w:val="ro-RO"/>
        </w:rPr>
        <w:t xml:space="preserve"> </w:t>
      </w:r>
      <w:proofErr w:type="spellStart"/>
      <w:r w:rsidR="008B36A9" w:rsidRPr="00CD48F9">
        <w:rPr>
          <w:lang w:val="ro-RO"/>
        </w:rPr>
        <w:t>transparenţei</w:t>
      </w:r>
      <w:proofErr w:type="spellEnd"/>
      <w:r w:rsidR="008B36A9" w:rsidRPr="00CD48F9">
        <w:rPr>
          <w:lang w:val="ro-RO"/>
        </w:rPr>
        <w:t xml:space="preserve">, a gradului de </w:t>
      </w:r>
      <w:proofErr w:type="spellStart"/>
      <w:r w:rsidR="008B36A9" w:rsidRPr="00CD48F9">
        <w:rPr>
          <w:lang w:val="ro-RO"/>
        </w:rPr>
        <w:t>cunoaştere</w:t>
      </w:r>
      <w:proofErr w:type="spellEnd"/>
      <w:r w:rsidR="008B36A9" w:rsidRPr="00CD48F9">
        <w:rPr>
          <w:lang w:val="ro-RO"/>
        </w:rPr>
        <w:t xml:space="preserve"> </w:t>
      </w:r>
      <w:proofErr w:type="spellStart"/>
      <w:r w:rsidR="008B36A9" w:rsidRPr="00CD48F9">
        <w:rPr>
          <w:lang w:val="ro-RO"/>
        </w:rPr>
        <w:t>şi</w:t>
      </w:r>
      <w:proofErr w:type="spellEnd"/>
      <w:r w:rsidR="008B36A9" w:rsidRPr="00CD48F9">
        <w:rPr>
          <w:lang w:val="ro-RO"/>
        </w:rPr>
        <w:t xml:space="preserve"> </w:t>
      </w:r>
      <w:proofErr w:type="spellStart"/>
      <w:r w:rsidR="008B36A9" w:rsidRPr="00CD48F9">
        <w:rPr>
          <w:lang w:val="ro-RO"/>
        </w:rPr>
        <w:t>înţelegere</w:t>
      </w:r>
      <w:proofErr w:type="spellEnd"/>
      <w:r w:rsidR="008B36A9" w:rsidRPr="00CD48F9">
        <w:rPr>
          <w:lang w:val="ro-RO"/>
        </w:rPr>
        <w:t xml:space="preserve"> a standardelor etice, a </w:t>
      </w:r>
      <w:proofErr w:type="spellStart"/>
      <w:r w:rsidR="008B36A9" w:rsidRPr="00CD48F9">
        <w:rPr>
          <w:lang w:val="ro-RO"/>
        </w:rPr>
        <w:t>eficienţei</w:t>
      </w:r>
      <w:proofErr w:type="spellEnd"/>
      <w:r w:rsidR="008B36A9" w:rsidRPr="00CD48F9">
        <w:rPr>
          <w:lang w:val="ro-RO"/>
        </w:rPr>
        <w:t xml:space="preserve"> aplicării instrumentelor specifice </w:t>
      </w:r>
      <w:proofErr w:type="spellStart"/>
      <w:r w:rsidR="008B36A9" w:rsidRPr="00CD48F9">
        <w:rPr>
          <w:lang w:val="ro-RO"/>
        </w:rPr>
        <w:t>şi</w:t>
      </w:r>
      <w:proofErr w:type="spellEnd"/>
      <w:r w:rsidR="008B36A9" w:rsidRPr="00CD48F9">
        <w:rPr>
          <w:lang w:val="ro-RO"/>
        </w:rPr>
        <w:t xml:space="preserve"> printr-o cultură a </w:t>
      </w:r>
      <w:proofErr w:type="spellStart"/>
      <w:r w:rsidR="008B36A9" w:rsidRPr="00CD48F9">
        <w:rPr>
          <w:lang w:val="ro-RO"/>
        </w:rPr>
        <w:t>responsabilităţii</w:t>
      </w:r>
      <w:proofErr w:type="spellEnd"/>
      <w:r w:rsidR="008B36A9" w:rsidRPr="00CD48F9">
        <w:rPr>
          <w:lang w:val="ro-RO"/>
        </w:rPr>
        <w:t xml:space="preserve">. </w:t>
      </w:r>
    </w:p>
    <w:p w:rsidR="00B904BD" w:rsidRPr="00CD48F9" w:rsidRDefault="00B904BD" w:rsidP="00972E3A">
      <w:pPr>
        <w:spacing w:after="120" w:line="276" w:lineRule="auto"/>
        <w:rPr>
          <w:lang w:val="ro-RO"/>
        </w:rPr>
      </w:pPr>
      <w:r w:rsidRPr="00CD48F9">
        <w:rPr>
          <w:lang w:val="ro-RO"/>
        </w:rPr>
        <w:t xml:space="preserve">Grupul </w:t>
      </w:r>
      <w:proofErr w:type="spellStart"/>
      <w:r w:rsidRPr="00CD48F9">
        <w:rPr>
          <w:lang w:val="ro-RO"/>
        </w:rPr>
        <w:t>ţintă</w:t>
      </w:r>
      <w:proofErr w:type="spellEnd"/>
      <w:r w:rsidRPr="00CD48F9">
        <w:rPr>
          <w:lang w:val="ro-RO"/>
        </w:rPr>
        <w:t xml:space="preserve"> al proiectului este reprezentat de consilieri de etică / </w:t>
      </w:r>
      <w:proofErr w:type="spellStart"/>
      <w:r w:rsidRPr="00CD48F9">
        <w:rPr>
          <w:lang w:val="ro-RO"/>
        </w:rPr>
        <w:t>potenţiali</w:t>
      </w:r>
      <w:proofErr w:type="spellEnd"/>
      <w:r w:rsidRPr="00CD48F9">
        <w:rPr>
          <w:lang w:val="ro-RO"/>
        </w:rPr>
        <w:t xml:space="preserve"> consilieri de etică, utilizatori actuali ai platformei informatice pentru raportările privind respectarea normelor de conduită </w:t>
      </w:r>
      <w:proofErr w:type="spellStart"/>
      <w:r w:rsidRPr="00CD48F9">
        <w:rPr>
          <w:lang w:val="ro-RO"/>
        </w:rPr>
        <w:t>şi</w:t>
      </w:r>
      <w:proofErr w:type="spellEnd"/>
      <w:r w:rsidRPr="00CD48F9">
        <w:rPr>
          <w:lang w:val="ro-RO"/>
        </w:rPr>
        <w:t xml:space="preserve"> </w:t>
      </w:r>
      <w:proofErr w:type="spellStart"/>
      <w:r w:rsidRPr="00CD48F9">
        <w:rPr>
          <w:lang w:val="ro-RO"/>
        </w:rPr>
        <w:t>situaţia</w:t>
      </w:r>
      <w:proofErr w:type="spellEnd"/>
      <w:r w:rsidRPr="00CD48F9">
        <w:rPr>
          <w:lang w:val="ro-RO"/>
        </w:rPr>
        <w:t xml:space="preserve"> implementării procedurilor disciplinare, demnitari, </w:t>
      </w:r>
      <w:proofErr w:type="spellStart"/>
      <w:r w:rsidRPr="00CD48F9">
        <w:rPr>
          <w:lang w:val="ro-RO"/>
        </w:rPr>
        <w:t>aleşi</w:t>
      </w:r>
      <w:proofErr w:type="spellEnd"/>
      <w:r w:rsidRPr="00CD48F9">
        <w:rPr>
          <w:lang w:val="ro-RO"/>
        </w:rPr>
        <w:t xml:space="preserve"> locali, </w:t>
      </w:r>
      <w:proofErr w:type="spellStart"/>
      <w:r w:rsidRPr="00CD48F9">
        <w:rPr>
          <w:lang w:val="ro-RO"/>
        </w:rPr>
        <w:t>cetăţeni</w:t>
      </w:r>
      <w:proofErr w:type="spellEnd"/>
      <w:r w:rsidRPr="00CD48F9">
        <w:rPr>
          <w:lang w:val="ro-RO"/>
        </w:rPr>
        <w:t xml:space="preserve">, cât </w:t>
      </w:r>
      <w:proofErr w:type="spellStart"/>
      <w:r w:rsidRPr="00CD48F9">
        <w:rPr>
          <w:lang w:val="ro-RO"/>
        </w:rPr>
        <w:t>şi</w:t>
      </w:r>
      <w:proofErr w:type="spellEnd"/>
      <w:r w:rsidRPr="00CD48F9">
        <w:rPr>
          <w:lang w:val="ro-RO"/>
        </w:rPr>
        <w:t xml:space="preserve"> </w:t>
      </w:r>
      <w:proofErr w:type="spellStart"/>
      <w:r w:rsidRPr="00CD48F9">
        <w:rPr>
          <w:lang w:val="ro-RO"/>
        </w:rPr>
        <w:t>funcţionari</w:t>
      </w:r>
      <w:proofErr w:type="spellEnd"/>
      <w:r w:rsidRPr="00CD48F9">
        <w:rPr>
          <w:lang w:val="ro-RO"/>
        </w:rPr>
        <w:t xml:space="preserve"> publici din cadrul </w:t>
      </w:r>
      <w:proofErr w:type="spellStart"/>
      <w:r w:rsidRPr="00CD48F9">
        <w:rPr>
          <w:lang w:val="ro-RO"/>
        </w:rPr>
        <w:t>instituţiilor</w:t>
      </w:r>
      <w:proofErr w:type="spellEnd"/>
      <w:r w:rsidRPr="00CD48F9">
        <w:rPr>
          <w:lang w:val="ro-RO"/>
        </w:rPr>
        <w:t xml:space="preserve"> direct responsabile cu îndeplinirea </w:t>
      </w:r>
      <w:proofErr w:type="spellStart"/>
      <w:r w:rsidRPr="00CD48F9">
        <w:rPr>
          <w:lang w:val="ro-RO"/>
        </w:rPr>
        <w:t>activităţilor</w:t>
      </w:r>
      <w:proofErr w:type="spellEnd"/>
      <w:r w:rsidRPr="00CD48F9">
        <w:rPr>
          <w:lang w:val="ro-RO"/>
        </w:rPr>
        <w:t xml:space="preserve"> prevăzute de Strategia </w:t>
      </w:r>
      <w:proofErr w:type="spellStart"/>
      <w:r w:rsidRPr="00CD48F9">
        <w:rPr>
          <w:lang w:val="ro-RO"/>
        </w:rPr>
        <w:t>Naţională</w:t>
      </w:r>
      <w:proofErr w:type="spellEnd"/>
      <w:r w:rsidRPr="00CD48F9">
        <w:rPr>
          <w:lang w:val="ro-RO"/>
        </w:rPr>
        <w:t xml:space="preserve"> </w:t>
      </w:r>
      <w:proofErr w:type="spellStart"/>
      <w:r w:rsidRPr="00CD48F9">
        <w:rPr>
          <w:lang w:val="ro-RO"/>
        </w:rPr>
        <w:t>Anticorupţie</w:t>
      </w:r>
      <w:proofErr w:type="spellEnd"/>
      <w:r w:rsidRPr="00CD48F9">
        <w:rPr>
          <w:lang w:val="ro-RO"/>
        </w:rPr>
        <w:t xml:space="preserve"> 2016-2020, Strategia pentru consolidarea </w:t>
      </w:r>
      <w:proofErr w:type="spellStart"/>
      <w:r w:rsidRPr="00CD48F9">
        <w:rPr>
          <w:lang w:val="ro-RO"/>
        </w:rPr>
        <w:t>administraţiei</w:t>
      </w:r>
      <w:proofErr w:type="spellEnd"/>
      <w:r w:rsidRPr="00CD48F9">
        <w:rPr>
          <w:lang w:val="ro-RO"/>
        </w:rPr>
        <w:t xml:space="preserve"> publice 2014-2020 </w:t>
      </w:r>
      <w:proofErr w:type="spellStart"/>
      <w:r w:rsidRPr="00CD48F9">
        <w:rPr>
          <w:lang w:val="ro-RO"/>
        </w:rPr>
        <w:t>şi</w:t>
      </w:r>
      <w:proofErr w:type="spellEnd"/>
      <w:r w:rsidRPr="00CD48F9">
        <w:rPr>
          <w:lang w:val="ro-RO"/>
        </w:rPr>
        <w:t xml:space="preserve"> Strategia privind dezvoltarea </w:t>
      </w:r>
      <w:proofErr w:type="spellStart"/>
      <w:r w:rsidRPr="00CD48F9">
        <w:rPr>
          <w:lang w:val="ro-RO"/>
        </w:rPr>
        <w:t>funcţiei</w:t>
      </w:r>
      <w:proofErr w:type="spellEnd"/>
      <w:r w:rsidRPr="00CD48F9">
        <w:rPr>
          <w:lang w:val="ro-RO"/>
        </w:rPr>
        <w:t xml:space="preserve"> publice 2016-2020.</w:t>
      </w:r>
    </w:p>
    <w:p w:rsidR="008B36A9" w:rsidRPr="00CD48F9" w:rsidRDefault="008B36A9" w:rsidP="00972E3A">
      <w:pPr>
        <w:spacing w:after="120" w:line="276" w:lineRule="auto"/>
        <w:rPr>
          <w:lang w:val="ro-RO"/>
        </w:rPr>
      </w:pPr>
      <w:r w:rsidRPr="00CD48F9">
        <w:rPr>
          <w:lang w:val="ro-RO"/>
        </w:rPr>
        <w:t xml:space="preserve">Proiectul presupune derularea următoarelor </w:t>
      </w:r>
      <w:proofErr w:type="spellStart"/>
      <w:r w:rsidRPr="00CD48F9">
        <w:rPr>
          <w:lang w:val="ro-RO"/>
        </w:rPr>
        <w:t>activităţi</w:t>
      </w:r>
      <w:proofErr w:type="spellEnd"/>
      <w:r w:rsidRPr="00CD48F9">
        <w:rPr>
          <w:lang w:val="ro-RO"/>
        </w:rPr>
        <w:t xml:space="preserve">: </w:t>
      </w:r>
    </w:p>
    <w:p w:rsidR="008B36A9" w:rsidRPr="00CD48F9" w:rsidRDefault="008B36A9" w:rsidP="0080034B">
      <w:pPr>
        <w:pStyle w:val="ListParagraph"/>
        <w:numPr>
          <w:ilvl w:val="0"/>
          <w:numId w:val="14"/>
        </w:numPr>
        <w:spacing w:after="120" w:line="276" w:lineRule="auto"/>
        <w:ind w:left="806"/>
        <w:contextualSpacing w:val="0"/>
        <w:rPr>
          <w:lang w:val="ro-RO"/>
        </w:rPr>
      </w:pPr>
      <w:r w:rsidRPr="00CD48F9">
        <w:rPr>
          <w:lang w:val="ro-RO"/>
        </w:rPr>
        <w:t xml:space="preserve">elaborarea </w:t>
      </w:r>
      <w:proofErr w:type="spellStart"/>
      <w:r w:rsidRPr="00CD48F9">
        <w:rPr>
          <w:lang w:val="ro-RO"/>
        </w:rPr>
        <w:t>şi</w:t>
      </w:r>
      <w:proofErr w:type="spellEnd"/>
      <w:r w:rsidRPr="00CD48F9">
        <w:rPr>
          <w:lang w:val="ro-RO"/>
        </w:rPr>
        <w:t xml:space="preserve"> </w:t>
      </w:r>
      <w:proofErr w:type="spellStart"/>
      <w:r w:rsidRPr="00CD48F9">
        <w:rPr>
          <w:lang w:val="ro-RO"/>
        </w:rPr>
        <w:t>iniţierea</w:t>
      </w:r>
      <w:proofErr w:type="spellEnd"/>
      <w:r w:rsidRPr="00CD48F9">
        <w:rPr>
          <w:lang w:val="ro-RO"/>
        </w:rPr>
        <w:t xml:space="preserve"> implementării unei strategii de comunicare în legătură cu standardele etice </w:t>
      </w:r>
      <w:proofErr w:type="spellStart"/>
      <w:r w:rsidRPr="00CD48F9">
        <w:rPr>
          <w:lang w:val="ro-RO"/>
        </w:rPr>
        <w:t>şi</w:t>
      </w:r>
      <w:proofErr w:type="spellEnd"/>
      <w:r w:rsidRPr="00CD48F9">
        <w:rPr>
          <w:lang w:val="ro-RO"/>
        </w:rPr>
        <w:t xml:space="preserve"> </w:t>
      </w:r>
      <w:proofErr w:type="spellStart"/>
      <w:r w:rsidRPr="00CD48F9">
        <w:rPr>
          <w:lang w:val="ro-RO"/>
        </w:rPr>
        <w:t>obligaţiile</w:t>
      </w:r>
      <w:proofErr w:type="spellEnd"/>
      <w:r w:rsidRPr="00CD48F9">
        <w:rPr>
          <w:lang w:val="ro-RO"/>
        </w:rPr>
        <w:t xml:space="preserve"> privind conduita din </w:t>
      </w:r>
      <w:proofErr w:type="spellStart"/>
      <w:r w:rsidRPr="00CD48F9">
        <w:rPr>
          <w:lang w:val="ro-RO"/>
        </w:rPr>
        <w:t>administraţie</w:t>
      </w:r>
      <w:proofErr w:type="spellEnd"/>
      <w:r w:rsidRPr="00CD48F9">
        <w:rPr>
          <w:lang w:val="ro-RO"/>
        </w:rPr>
        <w:t xml:space="preserve"> a </w:t>
      </w:r>
      <w:proofErr w:type="spellStart"/>
      <w:r w:rsidRPr="00CD48F9">
        <w:rPr>
          <w:lang w:val="ro-RO"/>
        </w:rPr>
        <w:t>funcţionarilor</w:t>
      </w:r>
      <w:proofErr w:type="spellEnd"/>
      <w:r w:rsidRPr="00CD48F9">
        <w:rPr>
          <w:lang w:val="ro-RO"/>
        </w:rPr>
        <w:t xml:space="preserve"> publici; </w:t>
      </w:r>
    </w:p>
    <w:p w:rsidR="008B36A9" w:rsidRPr="00CD48F9" w:rsidRDefault="008B36A9" w:rsidP="0080034B">
      <w:pPr>
        <w:pStyle w:val="ListParagraph"/>
        <w:numPr>
          <w:ilvl w:val="0"/>
          <w:numId w:val="14"/>
        </w:numPr>
        <w:spacing w:after="120" w:line="276" w:lineRule="auto"/>
        <w:ind w:left="806"/>
        <w:contextualSpacing w:val="0"/>
        <w:rPr>
          <w:lang w:val="ro-RO"/>
        </w:rPr>
      </w:pPr>
      <w:r w:rsidRPr="00CD48F9">
        <w:rPr>
          <w:lang w:val="ro-RO"/>
        </w:rPr>
        <w:t>organizarea unui număr de 16 evenimente regionale de tip consultare publică.</w:t>
      </w:r>
    </w:p>
    <w:p w:rsidR="00CD48F9" w:rsidRPr="00CD48F9" w:rsidRDefault="008B36A9" w:rsidP="00BC740D">
      <w:pPr>
        <w:spacing w:after="120" w:line="276" w:lineRule="auto"/>
        <w:rPr>
          <w:lang w:val="ro-RO"/>
        </w:rPr>
      </w:pPr>
      <w:r w:rsidRPr="00CD48F9">
        <w:rPr>
          <w:lang w:val="ro-RO"/>
        </w:rPr>
        <w:t xml:space="preserve">Sprijinul acordat de ST SNA a fost în sensul formulării unui punct de vedere cu privire la strategia de comunicare. Implicarea s-a raportat la </w:t>
      </w:r>
      <w:proofErr w:type="spellStart"/>
      <w:r w:rsidRPr="00CD48F9">
        <w:rPr>
          <w:lang w:val="ro-RO"/>
        </w:rPr>
        <w:t>competenţele</w:t>
      </w:r>
      <w:proofErr w:type="spellEnd"/>
      <w:r w:rsidRPr="00CD48F9">
        <w:rPr>
          <w:lang w:val="ro-RO"/>
        </w:rPr>
        <w:t xml:space="preserve"> legale ale MJ referitoare la monitorizarea </w:t>
      </w:r>
      <w:proofErr w:type="spellStart"/>
      <w:r w:rsidRPr="00CD48F9">
        <w:rPr>
          <w:lang w:val="ro-RO"/>
        </w:rPr>
        <w:t>şi</w:t>
      </w:r>
      <w:proofErr w:type="spellEnd"/>
      <w:r w:rsidRPr="00CD48F9">
        <w:rPr>
          <w:lang w:val="ro-RO"/>
        </w:rPr>
        <w:t xml:space="preserve"> implementarea SNA 2016-2020. De asemenea, ST SNA a participat la consultările publice pe tema eticii, care au fost organizate în perioada 12 – 13 decembrie 2019. Sprijinirea implementării proiectului </w:t>
      </w:r>
      <w:r w:rsidR="001C7596" w:rsidRPr="00CD48F9">
        <w:rPr>
          <w:lang w:val="ro-RO"/>
        </w:rPr>
        <w:t xml:space="preserve"> continuat</w:t>
      </w:r>
      <w:r w:rsidRPr="00CD48F9">
        <w:rPr>
          <w:lang w:val="ro-RO"/>
        </w:rPr>
        <w:t xml:space="preserve"> și în anul 2020. </w:t>
      </w:r>
    </w:p>
    <w:p w:rsidR="00BC740D" w:rsidRDefault="00BC740D" w:rsidP="00972E3A">
      <w:pPr>
        <w:pStyle w:val="Title"/>
        <w:spacing w:before="0" w:after="120" w:line="276" w:lineRule="auto"/>
        <w:jc w:val="both"/>
        <w:rPr>
          <w:rFonts w:ascii="Trebuchet MS" w:hAnsi="Trebuchet MS"/>
          <w:sz w:val="22"/>
          <w:szCs w:val="22"/>
          <w:lang w:val="ro-RO" w:eastAsia="ro-RO"/>
        </w:rPr>
      </w:pPr>
      <w:r>
        <w:rPr>
          <w:rFonts w:ascii="Trebuchet MS" w:hAnsi="Trebuchet MS"/>
          <w:sz w:val="22"/>
          <w:szCs w:val="22"/>
          <w:lang w:val="ro-RO" w:eastAsia="ro-RO"/>
        </w:rPr>
        <w:t>2.3.2. Monitorizare</w:t>
      </w:r>
    </w:p>
    <w:p w:rsidR="00BC740D" w:rsidRPr="00CD48F9" w:rsidRDefault="00BC740D" w:rsidP="00BC740D">
      <w:pPr>
        <w:spacing w:after="120" w:line="276" w:lineRule="auto"/>
        <w:rPr>
          <w:rFonts w:eastAsia="Calibri"/>
          <w:lang w:val="ro-RO"/>
        </w:rPr>
      </w:pPr>
      <w:r w:rsidRPr="00CD48F9">
        <w:rPr>
          <w:rFonts w:eastAsia="Calibri"/>
          <w:lang w:val="ro-RO"/>
        </w:rPr>
        <w:lastRenderedPageBreak/>
        <w:t xml:space="preserve">În contextul implementării măsurii 2.1.1 din SNA privind auditarea internă, o dată la doi ani, a sistemului de prevenire a corupției la nivelul tuturor autorităților publice, în anul 2019, la nivelul ST SNA au fost centralizate rapoarte prin care au fost auditate </w:t>
      </w:r>
      <w:r w:rsidRPr="00CD48F9">
        <w:rPr>
          <w:rFonts w:eastAsia="Calibri"/>
          <w:b/>
          <w:lang w:val="ro-RO"/>
        </w:rPr>
        <w:t>4007</w:t>
      </w:r>
      <w:r w:rsidRPr="00CD48F9">
        <w:rPr>
          <w:rFonts w:eastAsia="Calibri"/>
          <w:lang w:val="ro-RO"/>
        </w:rPr>
        <w:t xml:space="preserve"> instituții, dintre care </w:t>
      </w:r>
      <w:r w:rsidRPr="00CD48F9">
        <w:rPr>
          <w:rFonts w:eastAsia="Calibri"/>
          <w:b/>
          <w:lang w:val="ro-RO"/>
        </w:rPr>
        <w:t>837</w:t>
      </w:r>
      <w:r w:rsidRPr="00CD48F9">
        <w:rPr>
          <w:rFonts w:eastAsia="Calibri"/>
          <w:lang w:val="ro-RO"/>
        </w:rPr>
        <w:t xml:space="preserve"> la nivel central (</w:t>
      </w:r>
      <w:proofErr w:type="spellStart"/>
      <w:r w:rsidRPr="00CD48F9">
        <w:rPr>
          <w:rFonts w:eastAsia="Calibri"/>
          <w:lang w:val="ro-RO"/>
        </w:rPr>
        <w:t>autorităţi</w:t>
      </w:r>
      <w:proofErr w:type="spellEnd"/>
      <w:r w:rsidRPr="00CD48F9">
        <w:rPr>
          <w:rFonts w:eastAsia="Calibri"/>
          <w:lang w:val="ro-RO"/>
        </w:rPr>
        <w:t xml:space="preserve"> autonome, </w:t>
      </w:r>
      <w:proofErr w:type="spellStart"/>
      <w:r w:rsidRPr="00CD48F9">
        <w:rPr>
          <w:rFonts w:eastAsia="Calibri"/>
          <w:lang w:val="ro-RO"/>
        </w:rPr>
        <w:t>instituţii</w:t>
      </w:r>
      <w:proofErr w:type="spellEnd"/>
      <w:r w:rsidRPr="00CD48F9">
        <w:rPr>
          <w:rFonts w:eastAsia="Calibri"/>
          <w:lang w:val="ro-RO"/>
        </w:rPr>
        <w:t xml:space="preserve"> </w:t>
      </w:r>
      <w:proofErr w:type="spellStart"/>
      <w:r w:rsidRPr="00CD48F9">
        <w:rPr>
          <w:rFonts w:eastAsia="Calibri"/>
          <w:lang w:val="ro-RO"/>
        </w:rPr>
        <w:t>anticorupţie</w:t>
      </w:r>
      <w:proofErr w:type="spellEnd"/>
      <w:r w:rsidRPr="00CD48F9">
        <w:rPr>
          <w:rFonts w:eastAsia="Calibri"/>
          <w:lang w:val="ro-RO"/>
        </w:rPr>
        <w:t xml:space="preserve"> </w:t>
      </w:r>
      <w:proofErr w:type="spellStart"/>
      <w:r w:rsidRPr="00CD48F9">
        <w:rPr>
          <w:rFonts w:eastAsia="Calibri"/>
          <w:lang w:val="ro-RO"/>
        </w:rPr>
        <w:t>şi</w:t>
      </w:r>
      <w:proofErr w:type="spellEnd"/>
      <w:r w:rsidRPr="00CD48F9">
        <w:rPr>
          <w:rFonts w:eastAsia="Calibri"/>
          <w:lang w:val="ro-RO"/>
        </w:rPr>
        <w:t xml:space="preserve"> </w:t>
      </w:r>
      <w:proofErr w:type="spellStart"/>
      <w:r w:rsidRPr="00CD48F9">
        <w:rPr>
          <w:rFonts w:eastAsia="Calibri"/>
          <w:lang w:val="ro-RO"/>
        </w:rPr>
        <w:t>instituţii</w:t>
      </w:r>
      <w:proofErr w:type="spellEnd"/>
      <w:r w:rsidRPr="00CD48F9">
        <w:rPr>
          <w:rFonts w:eastAsia="Calibri"/>
          <w:lang w:val="ro-RO"/>
        </w:rPr>
        <w:t xml:space="preserve"> din </w:t>
      </w:r>
      <w:proofErr w:type="spellStart"/>
      <w:r w:rsidRPr="00CD48F9">
        <w:rPr>
          <w:rFonts w:eastAsia="Calibri"/>
          <w:lang w:val="ro-RO"/>
        </w:rPr>
        <w:t>administraţia</w:t>
      </w:r>
      <w:proofErr w:type="spellEnd"/>
      <w:r w:rsidRPr="00CD48F9">
        <w:rPr>
          <w:rFonts w:eastAsia="Calibri"/>
          <w:lang w:val="ro-RO"/>
        </w:rPr>
        <w:t xml:space="preserve"> publică centrală, inclusiv structuri aflate în subordonare/coordonare/sub autoritate) și </w:t>
      </w:r>
      <w:r w:rsidRPr="00CD48F9">
        <w:rPr>
          <w:rFonts w:eastAsia="Calibri"/>
          <w:b/>
          <w:lang w:val="ro-RO"/>
        </w:rPr>
        <w:t>3170</w:t>
      </w:r>
      <w:r w:rsidRPr="00CD48F9">
        <w:rPr>
          <w:rFonts w:eastAsia="Calibri"/>
          <w:lang w:val="ro-RO"/>
        </w:rPr>
        <w:t xml:space="preserve"> la nivel local (primării, consilii județene, unități de învățământ, sanitare, de cultură, servicii sociale, etc.). Temele ce au făcut obiectul misiunilor de audit public intern au fost: codul etic/deontologic/de conduită; consilier de etică; funcții sensibile. Scopul demersului a fost acela de a avea o imagine de ansamblu, cu privire la modul în care măsurile preventive prevăzute în Anexa 3 la SNA 2016-2020 sunt implementate la nivelul instituțiilor publice.</w:t>
      </w:r>
    </w:p>
    <w:p w:rsidR="00BC740D" w:rsidRPr="00BC740D" w:rsidRDefault="00BC740D" w:rsidP="00BC740D">
      <w:pPr>
        <w:pStyle w:val="Title"/>
        <w:spacing w:before="0" w:after="120" w:line="276" w:lineRule="auto"/>
        <w:jc w:val="both"/>
        <w:rPr>
          <w:rFonts w:ascii="Trebuchet MS" w:eastAsia="Calibri" w:hAnsi="Trebuchet MS"/>
          <w:b w:val="0"/>
          <w:bCs w:val="0"/>
          <w:kern w:val="0"/>
          <w:sz w:val="22"/>
          <w:szCs w:val="22"/>
          <w:lang w:val="ro-RO"/>
        </w:rPr>
      </w:pPr>
      <w:r w:rsidRPr="00CD48F9">
        <w:rPr>
          <w:rFonts w:ascii="Trebuchet MS" w:eastAsia="Calibri" w:hAnsi="Trebuchet MS"/>
          <w:b w:val="0"/>
          <w:bCs w:val="0"/>
          <w:kern w:val="0"/>
          <w:sz w:val="22"/>
          <w:szCs w:val="22"/>
          <w:lang w:val="ro-RO"/>
        </w:rPr>
        <w:t xml:space="preserve">ST SNA a elaborat documentul </w:t>
      </w:r>
      <w:r w:rsidRPr="00CD48F9">
        <w:rPr>
          <w:rFonts w:ascii="Trebuchet MS" w:eastAsia="Calibri" w:hAnsi="Trebuchet MS"/>
          <w:b w:val="0"/>
          <w:bCs w:val="0"/>
          <w:i/>
          <w:iCs/>
          <w:kern w:val="0"/>
          <w:sz w:val="22"/>
          <w:szCs w:val="22"/>
          <w:lang w:val="ro-RO"/>
        </w:rPr>
        <w:t>Analiza rapoartelor de audit public intern privind evaluarea sistemului de prevenire a corupției, anul 2019</w:t>
      </w:r>
      <w:r w:rsidRPr="00CD48F9">
        <w:rPr>
          <w:rFonts w:ascii="Trebuchet MS" w:eastAsia="Calibri" w:hAnsi="Trebuchet MS"/>
          <w:b w:val="0"/>
          <w:bCs w:val="0"/>
          <w:kern w:val="0"/>
          <w:sz w:val="22"/>
          <w:szCs w:val="22"/>
          <w:lang w:val="ro-RO"/>
        </w:rPr>
        <w:t xml:space="preserve">, document ce vizează analiza rapoartelor privind auditarea a </w:t>
      </w:r>
      <w:r w:rsidRPr="00CD48F9">
        <w:rPr>
          <w:rFonts w:ascii="Trebuchet MS" w:eastAsia="Calibri" w:hAnsi="Trebuchet MS"/>
          <w:bCs w:val="0"/>
          <w:kern w:val="0"/>
          <w:sz w:val="22"/>
          <w:szCs w:val="22"/>
          <w:lang w:val="ro-RO"/>
        </w:rPr>
        <w:t>534</w:t>
      </w:r>
      <w:r w:rsidRPr="00CD48F9">
        <w:rPr>
          <w:rFonts w:ascii="Trebuchet MS" w:eastAsia="Calibri" w:hAnsi="Trebuchet MS"/>
          <w:b w:val="0"/>
          <w:bCs w:val="0"/>
          <w:kern w:val="0"/>
          <w:sz w:val="22"/>
          <w:szCs w:val="22"/>
          <w:lang w:val="ro-RO"/>
        </w:rPr>
        <w:t xml:space="preserve"> de instituții la nivel central (toate instituțiile membre ale platformei </w:t>
      </w:r>
      <w:proofErr w:type="spellStart"/>
      <w:r w:rsidRPr="00CD48F9">
        <w:rPr>
          <w:rFonts w:ascii="Trebuchet MS" w:eastAsia="Calibri" w:hAnsi="Trebuchet MS"/>
          <w:b w:val="0"/>
          <w:bCs w:val="0"/>
          <w:kern w:val="0"/>
          <w:sz w:val="22"/>
          <w:szCs w:val="22"/>
          <w:lang w:val="ro-RO"/>
        </w:rPr>
        <w:t>administraţiei</w:t>
      </w:r>
      <w:proofErr w:type="spellEnd"/>
      <w:r w:rsidRPr="00CD48F9">
        <w:rPr>
          <w:rFonts w:ascii="Trebuchet MS" w:eastAsia="Calibri" w:hAnsi="Trebuchet MS"/>
          <w:b w:val="0"/>
          <w:bCs w:val="0"/>
          <w:kern w:val="0"/>
          <w:sz w:val="22"/>
          <w:szCs w:val="22"/>
          <w:lang w:val="ro-RO"/>
        </w:rPr>
        <w:t xml:space="preserve"> publice centrale </w:t>
      </w:r>
      <w:proofErr w:type="spellStart"/>
      <w:r w:rsidRPr="00CD48F9">
        <w:rPr>
          <w:rFonts w:ascii="Trebuchet MS" w:eastAsia="Calibri" w:hAnsi="Trebuchet MS"/>
          <w:b w:val="0"/>
          <w:bCs w:val="0"/>
          <w:kern w:val="0"/>
          <w:sz w:val="22"/>
          <w:szCs w:val="22"/>
          <w:lang w:val="ro-RO"/>
        </w:rPr>
        <w:t>şi</w:t>
      </w:r>
      <w:proofErr w:type="spellEnd"/>
      <w:r w:rsidRPr="00CD48F9">
        <w:rPr>
          <w:rFonts w:ascii="Trebuchet MS" w:eastAsia="Calibri" w:hAnsi="Trebuchet MS"/>
          <w:b w:val="0"/>
          <w:bCs w:val="0"/>
          <w:kern w:val="0"/>
          <w:sz w:val="22"/>
          <w:szCs w:val="22"/>
          <w:lang w:val="ro-RO"/>
        </w:rPr>
        <w:t xml:space="preserve"> ale platformei </w:t>
      </w:r>
      <w:proofErr w:type="spellStart"/>
      <w:r w:rsidRPr="00CD48F9">
        <w:rPr>
          <w:rFonts w:ascii="Trebuchet MS" w:eastAsia="Calibri" w:hAnsi="Trebuchet MS"/>
          <w:b w:val="0"/>
          <w:bCs w:val="0"/>
          <w:kern w:val="0"/>
          <w:sz w:val="22"/>
          <w:szCs w:val="22"/>
          <w:lang w:val="ro-RO"/>
        </w:rPr>
        <w:t>autorităţilor</w:t>
      </w:r>
      <w:proofErr w:type="spellEnd"/>
      <w:r w:rsidRPr="00CD48F9">
        <w:rPr>
          <w:rFonts w:ascii="Trebuchet MS" w:eastAsia="Calibri" w:hAnsi="Trebuchet MS"/>
          <w:b w:val="0"/>
          <w:bCs w:val="0"/>
          <w:kern w:val="0"/>
          <w:sz w:val="22"/>
          <w:szCs w:val="22"/>
          <w:lang w:val="ro-RO"/>
        </w:rPr>
        <w:t xml:space="preserve"> independente </w:t>
      </w:r>
      <w:proofErr w:type="spellStart"/>
      <w:r w:rsidRPr="00CD48F9">
        <w:rPr>
          <w:rFonts w:ascii="Trebuchet MS" w:eastAsia="Calibri" w:hAnsi="Trebuchet MS"/>
          <w:b w:val="0"/>
          <w:bCs w:val="0"/>
          <w:kern w:val="0"/>
          <w:sz w:val="22"/>
          <w:szCs w:val="22"/>
          <w:lang w:val="ro-RO"/>
        </w:rPr>
        <w:t>şi</w:t>
      </w:r>
      <w:proofErr w:type="spellEnd"/>
      <w:r w:rsidRPr="00CD48F9">
        <w:rPr>
          <w:rFonts w:ascii="Trebuchet MS" w:eastAsia="Calibri" w:hAnsi="Trebuchet MS"/>
          <w:b w:val="0"/>
          <w:bCs w:val="0"/>
          <w:kern w:val="0"/>
          <w:sz w:val="22"/>
          <w:szCs w:val="22"/>
          <w:lang w:val="ro-RO"/>
        </w:rPr>
        <w:t xml:space="preserve"> a </w:t>
      </w:r>
      <w:proofErr w:type="spellStart"/>
      <w:r w:rsidRPr="00CD48F9">
        <w:rPr>
          <w:rFonts w:ascii="Trebuchet MS" w:eastAsia="Calibri" w:hAnsi="Trebuchet MS"/>
          <w:b w:val="0"/>
          <w:bCs w:val="0"/>
          <w:kern w:val="0"/>
          <w:sz w:val="22"/>
          <w:szCs w:val="22"/>
          <w:lang w:val="ro-RO"/>
        </w:rPr>
        <w:t>instituţiilor</w:t>
      </w:r>
      <w:proofErr w:type="spellEnd"/>
      <w:r w:rsidRPr="00CD48F9">
        <w:rPr>
          <w:rFonts w:ascii="Trebuchet MS" w:eastAsia="Calibri" w:hAnsi="Trebuchet MS"/>
          <w:b w:val="0"/>
          <w:bCs w:val="0"/>
          <w:kern w:val="0"/>
          <w:sz w:val="22"/>
          <w:szCs w:val="22"/>
          <w:lang w:val="ro-RO"/>
        </w:rPr>
        <w:t xml:space="preserve"> </w:t>
      </w:r>
      <w:proofErr w:type="spellStart"/>
      <w:r w:rsidRPr="00CD48F9">
        <w:rPr>
          <w:rFonts w:ascii="Trebuchet MS" w:eastAsia="Calibri" w:hAnsi="Trebuchet MS"/>
          <w:b w:val="0"/>
          <w:bCs w:val="0"/>
          <w:kern w:val="0"/>
          <w:sz w:val="22"/>
          <w:szCs w:val="22"/>
          <w:lang w:val="ro-RO"/>
        </w:rPr>
        <w:t>anticorupţie</w:t>
      </w:r>
      <w:proofErr w:type="spellEnd"/>
      <w:r w:rsidRPr="00CD48F9">
        <w:rPr>
          <w:rFonts w:ascii="Trebuchet MS" w:eastAsia="Calibri" w:hAnsi="Trebuchet MS"/>
          <w:b w:val="0"/>
          <w:bCs w:val="0"/>
          <w:kern w:val="0"/>
          <w:sz w:val="22"/>
          <w:szCs w:val="22"/>
          <w:lang w:val="ro-RO"/>
        </w:rPr>
        <w:t xml:space="preserve">, </w:t>
      </w:r>
      <w:proofErr w:type="spellStart"/>
      <w:r w:rsidRPr="00CD48F9">
        <w:rPr>
          <w:rFonts w:ascii="Trebuchet MS" w:eastAsia="Calibri" w:hAnsi="Trebuchet MS"/>
          <w:b w:val="0"/>
          <w:bCs w:val="0"/>
          <w:kern w:val="0"/>
          <w:sz w:val="22"/>
          <w:szCs w:val="22"/>
          <w:lang w:val="ro-RO"/>
        </w:rPr>
        <w:t>autorităţi</w:t>
      </w:r>
      <w:proofErr w:type="spellEnd"/>
      <w:r w:rsidRPr="00CD48F9">
        <w:rPr>
          <w:rFonts w:ascii="Trebuchet MS" w:eastAsia="Calibri" w:hAnsi="Trebuchet MS"/>
          <w:b w:val="0"/>
          <w:bCs w:val="0"/>
          <w:kern w:val="0"/>
          <w:sz w:val="22"/>
          <w:szCs w:val="22"/>
          <w:lang w:val="ro-RO"/>
        </w:rPr>
        <w:t xml:space="preserve"> autonome, întreprinderi publice </w:t>
      </w:r>
      <w:proofErr w:type="spellStart"/>
      <w:r w:rsidRPr="00CD48F9">
        <w:rPr>
          <w:rFonts w:ascii="Trebuchet MS" w:eastAsia="Calibri" w:hAnsi="Trebuchet MS"/>
          <w:b w:val="0"/>
          <w:bCs w:val="0"/>
          <w:kern w:val="0"/>
          <w:sz w:val="22"/>
          <w:szCs w:val="22"/>
          <w:lang w:val="ro-RO"/>
        </w:rPr>
        <w:t>şi</w:t>
      </w:r>
      <w:proofErr w:type="spellEnd"/>
      <w:r w:rsidRPr="00CD48F9">
        <w:rPr>
          <w:rFonts w:ascii="Trebuchet MS" w:eastAsia="Calibri" w:hAnsi="Trebuchet MS"/>
          <w:b w:val="0"/>
          <w:bCs w:val="0"/>
          <w:kern w:val="0"/>
          <w:sz w:val="22"/>
          <w:szCs w:val="22"/>
          <w:lang w:val="ro-RO"/>
        </w:rPr>
        <w:t xml:space="preserve"> structuri aflate în subordonare/coordonare/sub autoritate), precum și </w:t>
      </w:r>
      <w:r w:rsidRPr="00CD48F9">
        <w:rPr>
          <w:rFonts w:ascii="Trebuchet MS" w:eastAsia="Calibri" w:hAnsi="Trebuchet MS"/>
          <w:bCs w:val="0"/>
          <w:kern w:val="0"/>
          <w:sz w:val="22"/>
          <w:szCs w:val="22"/>
          <w:lang w:val="ro-RO"/>
        </w:rPr>
        <w:t>317</w:t>
      </w:r>
      <w:r w:rsidRPr="00CD48F9">
        <w:rPr>
          <w:rFonts w:ascii="Trebuchet MS" w:eastAsia="Calibri" w:hAnsi="Trebuchet MS"/>
          <w:b w:val="0"/>
          <w:bCs w:val="0"/>
          <w:kern w:val="0"/>
          <w:sz w:val="22"/>
          <w:szCs w:val="22"/>
          <w:lang w:val="ro-RO"/>
        </w:rPr>
        <w:t xml:space="preserve"> instituții la nivel local (primării de oraș/municipiu/comună, consilii județene, unități de învățământ, sanitare, culturale, etc.). Documentul face o analiză a constatărilor, recomandărilor și concluziilor echipelor de audit, cu scopul de a identifica problemele comune </w:t>
      </w:r>
      <w:proofErr w:type="spellStart"/>
      <w:r w:rsidRPr="00CD48F9">
        <w:rPr>
          <w:rFonts w:ascii="Trebuchet MS" w:eastAsia="Calibri" w:hAnsi="Trebuchet MS"/>
          <w:b w:val="0"/>
          <w:bCs w:val="0"/>
          <w:kern w:val="0"/>
          <w:sz w:val="22"/>
          <w:szCs w:val="22"/>
          <w:lang w:val="ro-RO"/>
        </w:rPr>
        <w:t>şi</w:t>
      </w:r>
      <w:proofErr w:type="spellEnd"/>
      <w:r w:rsidRPr="00CD48F9">
        <w:rPr>
          <w:rFonts w:ascii="Trebuchet MS" w:eastAsia="Calibri" w:hAnsi="Trebuchet MS"/>
          <w:b w:val="0"/>
          <w:bCs w:val="0"/>
          <w:kern w:val="0"/>
          <w:sz w:val="22"/>
          <w:szCs w:val="22"/>
          <w:lang w:val="ro-RO"/>
        </w:rPr>
        <w:t xml:space="preserve"> </w:t>
      </w:r>
      <w:proofErr w:type="spellStart"/>
      <w:r w:rsidRPr="00CD48F9">
        <w:rPr>
          <w:rFonts w:ascii="Trebuchet MS" w:eastAsia="Calibri" w:hAnsi="Trebuchet MS"/>
          <w:b w:val="0"/>
          <w:bCs w:val="0"/>
          <w:kern w:val="0"/>
          <w:sz w:val="22"/>
          <w:szCs w:val="22"/>
          <w:lang w:val="ro-RO"/>
        </w:rPr>
        <w:t>soluţiile</w:t>
      </w:r>
      <w:proofErr w:type="spellEnd"/>
      <w:r w:rsidRPr="00CD48F9">
        <w:rPr>
          <w:rFonts w:ascii="Trebuchet MS" w:eastAsia="Calibri" w:hAnsi="Trebuchet MS"/>
          <w:b w:val="0"/>
          <w:bCs w:val="0"/>
          <w:kern w:val="0"/>
          <w:sz w:val="22"/>
          <w:szCs w:val="22"/>
          <w:lang w:val="ro-RO"/>
        </w:rPr>
        <w:t xml:space="preserve"> promovate de auditori, formulând concluzii cu privire la eficiența mecanismului.</w:t>
      </w:r>
    </w:p>
    <w:p w:rsidR="00CB03C6" w:rsidRPr="00CD48F9" w:rsidRDefault="009462A6" w:rsidP="00972E3A">
      <w:pPr>
        <w:pStyle w:val="Title"/>
        <w:spacing w:before="0" w:after="120" w:line="276" w:lineRule="auto"/>
        <w:jc w:val="both"/>
        <w:rPr>
          <w:rFonts w:ascii="Trebuchet MS" w:hAnsi="Trebuchet MS"/>
          <w:sz w:val="22"/>
          <w:szCs w:val="22"/>
          <w:lang w:val="ro-RO" w:eastAsia="ro-RO"/>
        </w:rPr>
      </w:pPr>
      <w:r w:rsidRPr="00CD48F9">
        <w:rPr>
          <w:rFonts w:ascii="Trebuchet MS" w:hAnsi="Trebuchet MS"/>
          <w:sz w:val="22"/>
          <w:szCs w:val="22"/>
          <w:lang w:val="ro-RO" w:eastAsia="ro-RO"/>
        </w:rPr>
        <w:t>2.3</w:t>
      </w:r>
      <w:r w:rsidR="00BC740D">
        <w:rPr>
          <w:rFonts w:ascii="Trebuchet MS" w:hAnsi="Trebuchet MS"/>
          <w:sz w:val="22"/>
          <w:szCs w:val="22"/>
          <w:lang w:val="ro-RO" w:eastAsia="ro-RO"/>
        </w:rPr>
        <w:t>.3</w:t>
      </w:r>
      <w:r w:rsidR="00CB03C6" w:rsidRPr="00CD48F9">
        <w:rPr>
          <w:rFonts w:ascii="Trebuchet MS" w:hAnsi="Trebuchet MS"/>
          <w:sz w:val="22"/>
          <w:szCs w:val="22"/>
          <w:lang w:val="ro-RO" w:eastAsia="ro-RO"/>
        </w:rPr>
        <w:t xml:space="preserve">. </w:t>
      </w:r>
      <w:r w:rsidR="000A7851" w:rsidRPr="00CD48F9">
        <w:rPr>
          <w:rFonts w:ascii="Trebuchet MS" w:hAnsi="Trebuchet MS"/>
          <w:sz w:val="22"/>
          <w:szCs w:val="22"/>
          <w:lang w:val="ro-RO"/>
        </w:rPr>
        <w:t>Platformele de cooperare</w:t>
      </w:r>
      <w:bookmarkEnd w:id="6"/>
    </w:p>
    <w:p w:rsidR="000A7851" w:rsidRPr="00CD48F9" w:rsidRDefault="00714039" w:rsidP="00972E3A">
      <w:pPr>
        <w:tabs>
          <w:tab w:val="left" w:pos="2010"/>
        </w:tabs>
        <w:spacing w:after="120" w:line="276" w:lineRule="auto"/>
        <w:rPr>
          <w:rFonts w:eastAsia="Calibri"/>
          <w:lang w:val="ro-RO"/>
        </w:rPr>
      </w:pPr>
      <w:r w:rsidRPr="00CD48F9">
        <w:rPr>
          <w:rFonts w:eastAsia="Calibri" w:cs="Arial"/>
          <w:lang w:val="ro-RO"/>
        </w:rPr>
        <w:t>În perioada</w:t>
      </w:r>
      <w:r w:rsidR="000A7851" w:rsidRPr="00CD48F9">
        <w:rPr>
          <w:rFonts w:eastAsia="Calibri" w:cs="Arial"/>
          <w:lang w:val="ro-RO"/>
        </w:rPr>
        <w:t xml:space="preserve"> 1 ianuarie -</w:t>
      </w:r>
      <w:r w:rsidR="00547563" w:rsidRPr="00CD48F9">
        <w:rPr>
          <w:rFonts w:eastAsia="Calibri" w:cs="Arial"/>
          <w:lang w:val="ro-RO"/>
        </w:rPr>
        <w:t xml:space="preserve"> </w:t>
      </w:r>
      <w:r w:rsidR="00FE4E5C" w:rsidRPr="00CD48F9">
        <w:rPr>
          <w:rFonts w:eastAsia="Calibri" w:cs="Arial"/>
          <w:lang w:val="ro-RO"/>
        </w:rPr>
        <w:t>31 decembrie 2019</w:t>
      </w:r>
      <w:r w:rsidR="000A7851" w:rsidRPr="00CD48F9">
        <w:rPr>
          <w:rFonts w:eastAsia="Calibri" w:cs="Arial"/>
          <w:lang w:val="ro-RO"/>
        </w:rPr>
        <w:t xml:space="preserve">, MJ a organizat două runde ale platformelor de cooperare. </w:t>
      </w:r>
    </w:p>
    <w:p w:rsidR="00A249DD" w:rsidRPr="00CD48F9" w:rsidRDefault="00547563" w:rsidP="00972E3A">
      <w:pPr>
        <w:tabs>
          <w:tab w:val="left" w:pos="2010"/>
        </w:tabs>
        <w:spacing w:after="120" w:line="276" w:lineRule="auto"/>
        <w:rPr>
          <w:rFonts w:eastAsia="Calibri"/>
          <w:lang w:val="ro-RO"/>
        </w:rPr>
      </w:pPr>
      <w:r w:rsidRPr="00CD48F9">
        <w:rPr>
          <w:rFonts w:eastAsia="Calibri"/>
          <w:lang w:val="ro-RO"/>
        </w:rPr>
        <w:t>Prima rund</w:t>
      </w:r>
      <w:r w:rsidRPr="00CD48F9">
        <w:rPr>
          <w:rFonts w:eastAsia="Calibri" w:cs="Arial"/>
          <w:lang w:val="ro-RO"/>
        </w:rPr>
        <w:t>ă</w:t>
      </w:r>
      <w:r w:rsidR="000A7851" w:rsidRPr="00CD48F9">
        <w:rPr>
          <w:rFonts w:eastAsia="Calibri"/>
          <w:lang w:val="ro-RO"/>
        </w:rPr>
        <w:t xml:space="preserve"> a</w:t>
      </w:r>
      <w:r w:rsidR="00A249DD" w:rsidRPr="00CD48F9">
        <w:rPr>
          <w:rFonts w:eastAsia="Calibri"/>
          <w:lang w:val="ro-RO"/>
        </w:rPr>
        <w:t xml:space="preserve"> reuniunilor</w:t>
      </w:r>
      <w:r w:rsidR="000A7851" w:rsidRPr="00CD48F9">
        <w:rPr>
          <w:rFonts w:eastAsia="Calibri"/>
          <w:lang w:val="ro-RO"/>
        </w:rPr>
        <w:t xml:space="preserve"> </w:t>
      </w:r>
      <w:r w:rsidR="000A7851" w:rsidRPr="00CD48F9">
        <w:rPr>
          <w:rFonts w:eastAsia="Calibri" w:cs="Arial"/>
          <w:lang w:val="ro-RO"/>
        </w:rPr>
        <w:t>platformelor de cooperare</w:t>
      </w:r>
      <w:r w:rsidRPr="00CD48F9">
        <w:rPr>
          <w:rFonts w:eastAsia="Calibri"/>
          <w:lang w:val="ro-RO"/>
        </w:rPr>
        <w:t xml:space="preserve"> a fost</w:t>
      </w:r>
      <w:r w:rsidR="000A7851" w:rsidRPr="00CD48F9">
        <w:rPr>
          <w:rFonts w:eastAsia="Calibri"/>
          <w:lang w:val="ro-RO"/>
        </w:rPr>
        <w:t xml:space="preserve"> </w:t>
      </w:r>
      <w:r w:rsidR="00A249DD" w:rsidRPr="00CD48F9">
        <w:rPr>
          <w:rFonts w:eastAsia="Calibri"/>
          <w:lang w:val="ro-RO"/>
        </w:rPr>
        <w:t>organizată în perioada 17-19</w:t>
      </w:r>
      <w:r w:rsidR="00FE4E5C" w:rsidRPr="00CD48F9">
        <w:rPr>
          <w:rFonts w:eastAsia="Calibri"/>
          <w:lang w:val="ro-RO"/>
        </w:rPr>
        <w:t xml:space="preserve"> aprilie 2019</w:t>
      </w:r>
      <w:r w:rsidRPr="00CD48F9">
        <w:rPr>
          <w:rFonts w:eastAsia="Calibri"/>
          <w:lang w:val="ro-RO"/>
        </w:rPr>
        <w:t xml:space="preserve">, </w:t>
      </w:r>
      <w:r w:rsidR="000A7851" w:rsidRPr="00CD48F9">
        <w:rPr>
          <w:rFonts w:eastAsia="Calibri"/>
          <w:lang w:val="ro-RO"/>
        </w:rPr>
        <w:t>subiectele abordate f</w:t>
      </w:r>
      <w:r w:rsidRPr="00CD48F9">
        <w:rPr>
          <w:rFonts w:eastAsia="Calibri"/>
          <w:lang w:val="ro-RO"/>
        </w:rPr>
        <w:t>iind</w:t>
      </w:r>
      <w:r w:rsidR="000A7851" w:rsidRPr="00CD48F9">
        <w:rPr>
          <w:rFonts w:eastAsia="Calibri"/>
          <w:lang w:val="ro-RO"/>
        </w:rPr>
        <w:t>:</w:t>
      </w:r>
    </w:p>
    <w:p w:rsidR="00A249DD" w:rsidRPr="00CD48F9" w:rsidRDefault="00A249DD" w:rsidP="0080034B">
      <w:pPr>
        <w:pStyle w:val="ListParagraph"/>
        <w:numPr>
          <w:ilvl w:val="0"/>
          <w:numId w:val="13"/>
        </w:numPr>
        <w:tabs>
          <w:tab w:val="left" w:pos="2010"/>
        </w:tabs>
        <w:spacing w:after="120" w:line="276" w:lineRule="auto"/>
        <w:rPr>
          <w:rFonts w:eastAsia="Calibri"/>
          <w:lang w:val="ro-RO"/>
        </w:rPr>
      </w:pPr>
      <w:r w:rsidRPr="00CD48F9">
        <w:rPr>
          <w:rFonts w:eastAsia="Calibri"/>
          <w:lang w:val="ro-RO"/>
        </w:rPr>
        <w:t>prezentarea raportului național privind stadiul implementării SNA în anul 2018;</w:t>
      </w:r>
    </w:p>
    <w:p w:rsidR="00A249DD" w:rsidRPr="00CD48F9" w:rsidRDefault="00A249DD" w:rsidP="0080034B">
      <w:pPr>
        <w:pStyle w:val="ListParagraph"/>
        <w:numPr>
          <w:ilvl w:val="0"/>
          <w:numId w:val="13"/>
        </w:numPr>
        <w:tabs>
          <w:tab w:val="left" w:pos="2010"/>
        </w:tabs>
        <w:spacing w:after="120" w:line="276" w:lineRule="auto"/>
        <w:rPr>
          <w:rFonts w:eastAsia="Calibri"/>
          <w:lang w:val="ro-RO"/>
        </w:rPr>
      </w:pPr>
      <w:r w:rsidRPr="00CD48F9">
        <w:rPr>
          <w:rFonts w:eastAsia="Calibri"/>
          <w:lang w:val="ro-RO"/>
        </w:rPr>
        <w:t>aprobarea chestionarelor elaborate în vederea derulării misiunilor de evaluare tematică;</w:t>
      </w:r>
    </w:p>
    <w:p w:rsidR="00A249DD" w:rsidRPr="00CD48F9" w:rsidRDefault="00A249DD" w:rsidP="0080034B">
      <w:pPr>
        <w:pStyle w:val="ListParagraph"/>
        <w:numPr>
          <w:ilvl w:val="0"/>
          <w:numId w:val="13"/>
        </w:numPr>
        <w:tabs>
          <w:tab w:val="left" w:pos="2010"/>
        </w:tabs>
        <w:spacing w:after="120" w:line="276" w:lineRule="auto"/>
        <w:rPr>
          <w:rFonts w:eastAsia="Calibri"/>
          <w:lang w:val="ro-RO"/>
        </w:rPr>
      </w:pPr>
      <w:r w:rsidRPr="00CD48F9">
        <w:rPr>
          <w:rFonts w:eastAsia="Calibri"/>
          <w:lang w:val="ro-RO"/>
        </w:rPr>
        <w:t>tur de masă privind măsurile din SNA cu termen 2018/2019;</w:t>
      </w:r>
    </w:p>
    <w:p w:rsidR="00A249DD" w:rsidRPr="00CD48F9" w:rsidRDefault="00A249DD" w:rsidP="0080034B">
      <w:pPr>
        <w:pStyle w:val="ListParagraph"/>
        <w:numPr>
          <w:ilvl w:val="0"/>
          <w:numId w:val="13"/>
        </w:numPr>
        <w:tabs>
          <w:tab w:val="left" w:pos="2010"/>
        </w:tabs>
        <w:spacing w:after="120" w:line="276" w:lineRule="auto"/>
        <w:rPr>
          <w:rFonts w:eastAsia="Calibri"/>
          <w:lang w:val="ro-RO"/>
        </w:rPr>
      </w:pPr>
      <w:r w:rsidRPr="00CD48F9">
        <w:rPr>
          <w:rFonts w:eastAsia="Calibri"/>
          <w:lang w:val="ro-RO"/>
        </w:rPr>
        <w:t xml:space="preserve">modul în care instituțiile evaluate în anul 2017 au implementat recomandările formulate potrivit art. 13 </w:t>
      </w:r>
      <w:r w:rsidR="008C1B55" w:rsidRPr="00CD48F9">
        <w:rPr>
          <w:rFonts w:eastAsia="Calibri"/>
          <w:lang w:val="ro-RO"/>
        </w:rPr>
        <w:t xml:space="preserve">alin. </w:t>
      </w:r>
      <w:r w:rsidRPr="00CD48F9">
        <w:rPr>
          <w:rFonts w:eastAsia="Calibri"/>
          <w:lang w:val="ro-RO"/>
        </w:rPr>
        <w:t>(8) din Metodologia de monitorizarea SNA;</w:t>
      </w:r>
    </w:p>
    <w:p w:rsidR="00A249DD" w:rsidRPr="00CD48F9" w:rsidRDefault="00A249DD" w:rsidP="0080034B">
      <w:pPr>
        <w:pStyle w:val="ListParagraph"/>
        <w:numPr>
          <w:ilvl w:val="0"/>
          <w:numId w:val="13"/>
        </w:numPr>
        <w:tabs>
          <w:tab w:val="left" w:pos="2010"/>
        </w:tabs>
        <w:spacing w:after="120" w:line="276" w:lineRule="auto"/>
        <w:contextualSpacing w:val="0"/>
        <w:rPr>
          <w:rFonts w:eastAsia="Calibri"/>
          <w:lang w:val="ro-RO"/>
        </w:rPr>
      </w:pPr>
      <w:r w:rsidRPr="00CD48F9">
        <w:rPr>
          <w:rFonts w:eastAsia="Calibri"/>
          <w:lang w:val="ro-RO"/>
        </w:rPr>
        <w:t xml:space="preserve">informare din partea ST SNA cu privire la propunerea de Directivă a Parlamentului European și a Consiliului privind protecția persoanelor care raportează încălcări ale dreptului Uniunii, precum și cu privire la stadiul programelor care au ca obiect finanțarea măsurilor SNA.  </w:t>
      </w:r>
    </w:p>
    <w:p w:rsidR="00A249DD" w:rsidRPr="00CD48F9" w:rsidRDefault="00A249DD" w:rsidP="00972E3A">
      <w:pPr>
        <w:pStyle w:val="ListParagraph"/>
        <w:spacing w:after="120" w:line="276" w:lineRule="auto"/>
        <w:ind w:left="0"/>
        <w:contextualSpacing w:val="0"/>
        <w:rPr>
          <w:lang w:val="ro-RO"/>
        </w:rPr>
      </w:pPr>
      <w:r w:rsidRPr="00CD48F9">
        <w:rPr>
          <w:lang w:val="ro-RO"/>
        </w:rPr>
        <w:t>Cea de</w:t>
      </w:r>
      <w:r w:rsidR="00C85DE9" w:rsidRPr="00CD48F9">
        <w:rPr>
          <w:lang w:val="ro-RO"/>
        </w:rPr>
        <w:t>-</w:t>
      </w:r>
      <w:r w:rsidRPr="00CD48F9">
        <w:rPr>
          <w:lang w:val="ro-RO"/>
        </w:rPr>
        <w:t>a doua rundă a reuniunilor platformelor de cooperare a avut loc în perioada 5-6 decembrie 2019. Punctele pr</w:t>
      </w:r>
      <w:r w:rsidR="00125B4A" w:rsidRPr="00CD48F9">
        <w:rPr>
          <w:lang w:val="ro-RO"/>
        </w:rPr>
        <w:t xml:space="preserve">incipale de pe agendă </w:t>
      </w:r>
      <w:r w:rsidRPr="00CD48F9">
        <w:rPr>
          <w:lang w:val="ro-RO"/>
        </w:rPr>
        <w:t>au fost:</w:t>
      </w:r>
    </w:p>
    <w:p w:rsidR="00AD229B" w:rsidRPr="00CD48F9" w:rsidRDefault="00125B4A">
      <w:pPr>
        <w:pStyle w:val="ListParagraph"/>
        <w:numPr>
          <w:ilvl w:val="0"/>
          <w:numId w:val="13"/>
        </w:numPr>
        <w:spacing w:after="120" w:line="276" w:lineRule="auto"/>
        <w:ind w:left="714" w:hanging="357"/>
        <w:rPr>
          <w:lang w:val="ro-RO"/>
        </w:rPr>
      </w:pPr>
      <w:r w:rsidRPr="00CD48F9">
        <w:rPr>
          <w:lang w:val="ro-RO"/>
        </w:rPr>
        <w:t>a</w:t>
      </w:r>
      <w:r w:rsidR="00A249DD" w:rsidRPr="00CD48F9">
        <w:rPr>
          <w:lang w:val="ro-RO"/>
        </w:rPr>
        <w:t xml:space="preserve">probarea rapoartelor de evaluare aferente misiunilor de </w:t>
      </w:r>
      <w:proofErr w:type="spellStart"/>
      <w:r w:rsidR="00A249DD" w:rsidRPr="00CD48F9">
        <w:rPr>
          <w:i/>
          <w:lang w:val="ro-RO"/>
        </w:rPr>
        <w:t>peer</w:t>
      </w:r>
      <w:proofErr w:type="spellEnd"/>
      <w:r w:rsidR="00A249DD" w:rsidRPr="00CD48F9">
        <w:rPr>
          <w:i/>
          <w:lang w:val="ro-RO"/>
        </w:rPr>
        <w:t xml:space="preserve"> </w:t>
      </w:r>
      <w:proofErr w:type="spellStart"/>
      <w:r w:rsidR="00A249DD" w:rsidRPr="00CD48F9">
        <w:rPr>
          <w:i/>
          <w:lang w:val="ro-RO"/>
        </w:rPr>
        <w:t>review</w:t>
      </w:r>
      <w:proofErr w:type="spellEnd"/>
      <w:r w:rsidR="00A249DD" w:rsidRPr="00CD48F9">
        <w:rPr>
          <w:lang w:val="ro-RO"/>
        </w:rPr>
        <w:t xml:space="preserve"> finalizate până la data convocării platformelor (misiunile au fost derulate în perioada 22 august – 7 noiembrie 2019)</w:t>
      </w:r>
      <w:r w:rsidRPr="00CD48F9">
        <w:rPr>
          <w:lang w:val="ro-RO"/>
        </w:rPr>
        <w:t>;</w:t>
      </w:r>
    </w:p>
    <w:p w:rsidR="00AD229B" w:rsidRPr="00CD48F9" w:rsidRDefault="00125B4A">
      <w:pPr>
        <w:pStyle w:val="ListParagraph"/>
        <w:numPr>
          <w:ilvl w:val="0"/>
          <w:numId w:val="13"/>
        </w:numPr>
        <w:spacing w:after="120" w:line="276" w:lineRule="auto"/>
        <w:ind w:left="714" w:hanging="357"/>
        <w:rPr>
          <w:lang w:val="ro-RO"/>
        </w:rPr>
      </w:pPr>
      <w:r w:rsidRPr="00CD48F9">
        <w:rPr>
          <w:lang w:val="ro-RO"/>
        </w:rPr>
        <w:t>proiecte care au ca obiect finanțarea măsurilor SNA;</w:t>
      </w:r>
    </w:p>
    <w:p w:rsidR="00AD229B" w:rsidRPr="00CD48F9" w:rsidRDefault="00125B4A">
      <w:pPr>
        <w:pStyle w:val="ListParagraph"/>
        <w:numPr>
          <w:ilvl w:val="0"/>
          <w:numId w:val="13"/>
        </w:numPr>
        <w:tabs>
          <w:tab w:val="left" w:pos="360"/>
        </w:tabs>
        <w:spacing w:after="120" w:line="276" w:lineRule="auto"/>
        <w:ind w:left="714" w:hanging="357"/>
        <w:rPr>
          <w:lang w:val="ro-RO"/>
        </w:rPr>
      </w:pPr>
      <w:r w:rsidRPr="00CD48F9">
        <w:rPr>
          <w:lang w:val="ro-RO"/>
        </w:rPr>
        <w:t>pregătirea conferinței anuale anticorupție (9 decembrie 2019);</w:t>
      </w:r>
    </w:p>
    <w:p w:rsidR="00AD229B" w:rsidRPr="00CD48F9" w:rsidRDefault="00125B4A">
      <w:pPr>
        <w:pStyle w:val="ListParagraph"/>
        <w:numPr>
          <w:ilvl w:val="0"/>
          <w:numId w:val="13"/>
        </w:numPr>
        <w:tabs>
          <w:tab w:val="left" w:pos="360"/>
        </w:tabs>
        <w:spacing w:after="120" w:line="276" w:lineRule="auto"/>
        <w:ind w:left="714" w:hanging="357"/>
        <w:rPr>
          <w:lang w:val="ro-RO"/>
        </w:rPr>
      </w:pPr>
      <w:r w:rsidRPr="00CD48F9">
        <w:rPr>
          <w:lang w:val="ro-RO"/>
        </w:rPr>
        <w:t xml:space="preserve">consultarea membrilor platformelor cu privire la temele de evaluare pentru misiunile de </w:t>
      </w:r>
      <w:proofErr w:type="spellStart"/>
      <w:r w:rsidR="00376BDB" w:rsidRPr="00CD48F9">
        <w:rPr>
          <w:i/>
          <w:iCs/>
          <w:lang w:val="ro-RO"/>
        </w:rPr>
        <w:t>peer</w:t>
      </w:r>
      <w:proofErr w:type="spellEnd"/>
      <w:r w:rsidR="00376BDB" w:rsidRPr="00CD48F9">
        <w:rPr>
          <w:i/>
          <w:iCs/>
          <w:lang w:val="ro-RO"/>
        </w:rPr>
        <w:t xml:space="preserve"> </w:t>
      </w:r>
      <w:proofErr w:type="spellStart"/>
      <w:r w:rsidR="00376BDB" w:rsidRPr="00CD48F9">
        <w:rPr>
          <w:i/>
          <w:iCs/>
          <w:lang w:val="ro-RO"/>
        </w:rPr>
        <w:t>review</w:t>
      </w:r>
      <w:proofErr w:type="spellEnd"/>
      <w:r w:rsidRPr="00CD48F9">
        <w:rPr>
          <w:lang w:val="ro-RO"/>
        </w:rPr>
        <w:t xml:space="preserve"> ce vor avea loc în cursul anului 2020;</w:t>
      </w:r>
    </w:p>
    <w:p w:rsidR="00AD229B" w:rsidRPr="00CD48F9" w:rsidRDefault="00125B4A">
      <w:pPr>
        <w:pStyle w:val="ListParagraph"/>
        <w:numPr>
          <w:ilvl w:val="0"/>
          <w:numId w:val="13"/>
        </w:numPr>
        <w:tabs>
          <w:tab w:val="left" w:pos="360"/>
        </w:tabs>
        <w:spacing w:after="120" w:line="276" w:lineRule="auto"/>
        <w:ind w:left="714" w:hanging="357"/>
        <w:rPr>
          <w:lang w:val="ro-RO"/>
        </w:rPr>
      </w:pPr>
      <w:r w:rsidRPr="00CD48F9">
        <w:rPr>
          <w:lang w:val="ro-RO"/>
        </w:rPr>
        <w:t>demersurile de aderare a României la OCDE;</w:t>
      </w:r>
    </w:p>
    <w:p w:rsidR="00AD229B" w:rsidRPr="00CD48F9" w:rsidRDefault="00125B4A">
      <w:pPr>
        <w:pStyle w:val="ListParagraph"/>
        <w:numPr>
          <w:ilvl w:val="0"/>
          <w:numId w:val="13"/>
        </w:numPr>
        <w:tabs>
          <w:tab w:val="left" w:pos="360"/>
        </w:tabs>
        <w:spacing w:after="120" w:line="276" w:lineRule="auto"/>
        <w:ind w:left="714" w:hanging="357"/>
        <w:rPr>
          <w:lang w:val="ro-RO"/>
        </w:rPr>
      </w:pPr>
      <w:r w:rsidRPr="00CD48F9">
        <w:rPr>
          <w:lang w:val="ro-RO"/>
        </w:rPr>
        <w:t>solicitare din partea ST SNA privind transmiterea de către instituții a raportului de progres privind implementarea SNA în anul 2019.</w:t>
      </w:r>
    </w:p>
    <w:p w:rsidR="00125B4A" w:rsidRPr="00CD48F9" w:rsidRDefault="005F7FE0" w:rsidP="00972E3A">
      <w:pPr>
        <w:tabs>
          <w:tab w:val="left" w:pos="360"/>
        </w:tabs>
        <w:spacing w:after="120" w:line="276" w:lineRule="auto"/>
        <w:rPr>
          <w:lang w:val="ro-RO"/>
        </w:rPr>
      </w:pPr>
      <w:r w:rsidRPr="00CD48F9">
        <w:rPr>
          <w:lang w:val="ro-RO"/>
        </w:rPr>
        <w:lastRenderedPageBreak/>
        <w:t>Î</w:t>
      </w:r>
      <w:r w:rsidR="00125B4A" w:rsidRPr="00CD48F9">
        <w:rPr>
          <w:lang w:val="ro-RO"/>
        </w:rPr>
        <w:t>n urma discuțiilor purtate în cadrul reuniunilor, s-au conturat următoarele teme</w:t>
      </w:r>
      <w:r w:rsidR="00D06B4F" w:rsidRPr="00CD48F9">
        <w:rPr>
          <w:lang w:val="ro-RO"/>
        </w:rPr>
        <w:t xml:space="preserve"> de evaluare</w:t>
      </w:r>
      <w:r w:rsidR="00125B4A" w:rsidRPr="00CD48F9">
        <w:rPr>
          <w:lang w:val="ro-RO"/>
        </w:rPr>
        <w:t>:</w:t>
      </w:r>
    </w:p>
    <w:p w:rsidR="00125B4A" w:rsidRPr="00CD48F9" w:rsidRDefault="007254A5" w:rsidP="0080034B">
      <w:pPr>
        <w:pStyle w:val="ListParagraph"/>
        <w:numPr>
          <w:ilvl w:val="2"/>
          <w:numId w:val="17"/>
        </w:numPr>
        <w:tabs>
          <w:tab w:val="left" w:pos="360"/>
        </w:tabs>
        <w:spacing w:after="120" w:line="276" w:lineRule="auto"/>
        <w:ind w:left="720"/>
        <w:contextualSpacing w:val="0"/>
        <w:rPr>
          <w:lang w:val="ro-RO"/>
        </w:rPr>
      </w:pPr>
      <w:r w:rsidRPr="00CD48F9">
        <w:rPr>
          <w:lang w:val="ro-RO"/>
        </w:rPr>
        <w:t>e</w:t>
      </w:r>
      <w:r w:rsidR="00125B4A" w:rsidRPr="00CD48F9">
        <w:rPr>
          <w:lang w:val="ro-RO"/>
        </w:rPr>
        <w:t>valuarea riscurilor de corupție și evaluarea ex-post a incidentelor de integritate în cadrul autorităților și instituțiilor publice centrale, conform H.G. nr. 599/2018</w:t>
      </w:r>
      <w:r w:rsidR="00125B4A" w:rsidRPr="00CD48F9">
        <w:rPr>
          <w:rStyle w:val="FootnoteReference"/>
          <w:lang w:val="ro-RO"/>
        </w:rPr>
        <w:footnoteReference w:id="6"/>
      </w:r>
      <w:r w:rsidR="00125B4A" w:rsidRPr="00CD48F9">
        <w:rPr>
          <w:lang w:val="ro-RO"/>
        </w:rPr>
        <w:t>;</w:t>
      </w:r>
    </w:p>
    <w:p w:rsidR="00125B4A" w:rsidRPr="00CD48F9" w:rsidRDefault="007254A5" w:rsidP="0080034B">
      <w:pPr>
        <w:pStyle w:val="ListParagraph"/>
        <w:numPr>
          <w:ilvl w:val="2"/>
          <w:numId w:val="17"/>
        </w:numPr>
        <w:tabs>
          <w:tab w:val="left" w:pos="360"/>
        </w:tabs>
        <w:spacing w:after="120" w:line="276" w:lineRule="auto"/>
        <w:ind w:left="720"/>
        <w:contextualSpacing w:val="0"/>
        <w:rPr>
          <w:lang w:val="ro-RO"/>
        </w:rPr>
      </w:pPr>
      <w:r w:rsidRPr="00CD48F9">
        <w:rPr>
          <w:lang w:val="ro-RO"/>
        </w:rPr>
        <w:t>f</w:t>
      </w:r>
      <w:r w:rsidR="00125B4A" w:rsidRPr="00CD48F9">
        <w:rPr>
          <w:lang w:val="ro-RO"/>
        </w:rPr>
        <w:t xml:space="preserve">uncții sensibile, instituție reglementată prin OSGG nr. 600/2018 privind aprobarea Codului controlului intern managerial al </w:t>
      </w:r>
      <w:proofErr w:type="spellStart"/>
      <w:r w:rsidR="00125B4A" w:rsidRPr="00CD48F9">
        <w:rPr>
          <w:lang w:val="ro-RO"/>
        </w:rPr>
        <w:t>entităţilor</w:t>
      </w:r>
      <w:proofErr w:type="spellEnd"/>
      <w:r w:rsidR="00125B4A" w:rsidRPr="00CD48F9">
        <w:rPr>
          <w:lang w:val="ro-RO"/>
        </w:rPr>
        <w:t xml:space="preserve"> publice;</w:t>
      </w:r>
    </w:p>
    <w:p w:rsidR="00CD48F9" w:rsidRPr="00BC740D" w:rsidRDefault="007254A5" w:rsidP="00972E3A">
      <w:pPr>
        <w:pStyle w:val="ListParagraph"/>
        <w:numPr>
          <w:ilvl w:val="2"/>
          <w:numId w:val="17"/>
        </w:numPr>
        <w:tabs>
          <w:tab w:val="left" w:pos="360"/>
        </w:tabs>
        <w:spacing w:after="120" w:line="276" w:lineRule="auto"/>
        <w:ind w:left="720"/>
        <w:contextualSpacing w:val="0"/>
        <w:rPr>
          <w:lang w:val="ro-RO"/>
        </w:rPr>
      </w:pPr>
      <w:r w:rsidRPr="00CD48F9">
        <w:rPr>
          <w:bCs/>
          <w:lang w:val="ro-RO"/>
        </w:rPr>
        <w:t>g</w:t>
      </w:r>
      <w:r w:rsidR="00125B4A" w:rsidRPr="00CD48F9">
        <w:rPr>
          <w:bCs/>
          <w:lang w:val="ro-RO"/>
        </w:rPr>
        <w:t>estionarea mecanismului de implementare a SNA de către instituțiile publice (inclusiv întreprinderi publice)</w:t>
      </w:r>
      <w:r w:rsidR="009D1850" w:rsidRPr="00CD48F9">
        <w:rPr>
          <w:bCs/>
          <w:lang w:val="ro-RO"/>
        </w:rPr>
        <w:t>.</w:t>
      </w:r>
      <w:bookmarkStart w:id="7" w:name="_Toc3376510"/>
    </w:p>
    <w:p w:rsidR="00CB03C6" w:rsidRPr="00CD48F9" w:rsidRDefault="009462A6" w:rsidP="00972E3A">
      <w:pPr>
        <w:pStyle w:val="Title"/>
        <w:spacing w:before="0" w:after="120" w:line="276" w:lineRule="auto"/>
        <w:jc w:val="both"/>
        <w:rPr>
          <w:rFonts w:ascii="Trebuchet MS" w:hAnsi="Trebuchet MS"/>
          <w:sz w:val="22"/>
          <w:szCs w:val="22"/>
          <w:lang w:val="ro-RO" w:eastAsia="ro-RO"/>
        </w:rPr>
      </w:pPr>
      <w:r w:rsidRPr="00CD48F9">
        <w:rPr>
          <w:rFonts w:ascii="Trebuchet MS" w:hAnsi="Trebuchet MS"/>
          <w:sz w:val="22"/>
          <w:szCs w:val="22"/>
          <w:lang w:val="ro-RO" w:eastAsia="ro-RO"/>
        </w:rPr>
        <w:t>2.3</w:t>
      </w:r>
      <w:r w:rsidR="00BC740D">
        <w:rPr>
          <w:rFonts w:ascii="Trebuchet MS" w:hAnsi="Trebuchet MS"/>
          <w:sz w:val="22"/>
          <w:szCs w:val="22"/>
          <w:lang w:val="ro-RO" w:eastAsia="ro-RO"/>
        </w:rPr>
        <w:t>.4</w:t>
      </w:r>
      <w:r w:rsidR="00CB03C6" w:rsidRPr="00CD48F9">
        <w:rPr>
          <w:rFonts w:ascii="Trebuchet MS" w:hAnsi="Trebuchet MS"/>
          <w:sz w:val="22"/>
          <w:szCs w:val="22"/>
          <w:lang w:val="ro-RO" w:eastAsia="ro-RO"/>
        </w:rPr>
        <w:t>. Misiuni de evaluare</w:t>
      </w:r>
      <w:bookmarkEnd w:id="7"/>
    </w:p>
    <w:p w:rsidR="00F10C8E" w:rsidRPr="00CD48F9" w:rsidRDefault="00F10C8E" w:rsidP="00972E3A">
      <w:pPr>
        <w:tabs>
          <w:tab w:val="center" w:pos="709"/>
          <w:tab w:val="center" w:pos="4536"/>
          <w:tab w:val="right" w:pos="9072"/>
        </w:tabs>
        <w:spacing w:after="120" w:line="276" w:lineRule="auto"/>
        <w:rPr>
          <w:rFonts w:eastAsia="Times New Roman" w:cs="Arial"/>
          <w:bCs/>
          <w:lang w:val="ro-RO" w:eastAsia="ro-RO"/>
        </w:rPr>
      </w:pPr>
      <w:r w:rsidRPr="00CD48F9">
        <w:rPr>
          <w:rFonts w:eastAsia="Times New Roman"/>
          <w:lang w:val="ro-RO" w:eastAsia="sk-SK"/>
        </w:rPr>
        <w:t xml:space="preserve">În cadrul platformelor de cooperare organizate în aprilie 2018, </w:t>
      </w:r>
      <w:r w:rsidRPr="00CD48F9">
        <w:rPr>
          <w:rFonts w:eastAsia="Times New Roman" w:cs="Arial"/>
          <w:bCs/>
          <w:lang w:val="ro-RO" w:eastAsia="ro-RO"/>
        </w:rPr>
        <w:t xml:space="preserve">au fost selectate cele 10 </w:t>
      </w:r>
      <w:proofErr w:type="spellStart"/>
      <w:r w:rsidRPr="00CD48F9">
        <w:rPr>
          <w:rFonts w:eastAsia="Times New Roman" w:cs="Arial"/>
          <w:bCs/>
          <w:lang w:val="ro-RO" w:eastAsia="ro-RO"/>
        </w:rPr>
        <w:t>instituţii</w:t>
      </w:r>
      <w:proofErr w:type="spellEnd"/>
      <w:r w:rsidRPr="00CD48F9">
        <w:rPr>
          <w:rFonts w:eastAsia="Times New Roman" w:cs="Arial"/>
          <w:bCs/>
          <w:lang w:val="ro-RO" w:eastAsia="ro-RO"/>
        </w:rPr>
        <w:t xml:space="preserve"> din administrația publică centrală</w:t>
      </w:r>
      <w:r w:rsidR="004840CB" w:rsidRPr="00CD48F9">
        <w:rPr>
          <w:rFonts w:eastAsia="Times New Roman" w:cs="Arial"/>
          <w:bCs/>
          <w:lang w:val="ro-RO" w:eastAsia="ro-RO"/>
        </w:rPr>
        <w:t xml:space="preserve">, </w:t>
      </w:r>
      <w:r w:rsidRPr="00CD48F9">
        <w:rPr>
          <w:rFonts w:eastAsia="Times New Roman" w:cs="Arial"/>
          <w:bCs/>
          <w:lang w:val="ro-RO" w:eastAsia="ro-RO"/>
        </w:rPr>
        <w:t xml:space="preserve">care să participe la misiunile de evaluare tematică: Corpul de control al primului-ministru și </w:t>
      </w:r>
      <w:r w:rsidRPr="00CD48F9">
        <w:rPr>
          <w:lang w:val="ro-RO"/>
        </w:rPr>
        <w:t>Ministerul Economiei</w:t>
      </w:r>
      <w:r w:rsidRPr="00CD48F9">
        <w:rPr>
          <w:rFonts w:eastAsia="Times New Roman" w:cs="Arial"/>
          <w:bCs/>
          <w:lang w:val="ro-RO" w:eastAsia="ro-RO"/>
        </w:rPr>
        <w:t xml:space="preserve"> (instituții care s-au oferit voluntar pentru misiunile de evaluare), Ministerul Turismului, Ministerul Energiei, Ministerul </w:t>
      </w:r>
      <w:r w:rsidRPr="00CD48F9">
        <w:rPr>
          <w:lang w:val="ro-RO"/>
        </w:rPr>
        <w:t xml:space="preserve">pentru Mediul de Afaceri, Comerț și </w:t>
      </w:r>
      <w:proofErr w:type="spellStart"/>
      <w:r w:rsidRPr="00CD48F9">
        <w:rPr>
          <w:lang w:val="ro-RO"/>
        </w:rPr>
        <w:t>Antreprenoriat</w:t>
      </w:r>
      <w:proofErr w:type="spellEnd"/>
      <w:r w:rsidRPr="00CD48F9">
        <w:rPr>
          <w:rFonts w:eastAsia="Times New Roman" w:cs="Arial"/>
          <w:bCs/>
          <w:lang w:val="ro-RO" w:eastAsia="ro-RO"/>
        </w:rPr>
        <w:t xml:space="preserve">, </w:t>
      </w:r>
      <w:r w:rsidRPr="00CD48F9">
        <w:rPr>
          <w:lang w:val="ro-RO"/>
        </w:rPr>
        <w:t xml:space="preserve">Ministerul </w:t>
      </w:r>
      <w:proofErr w:type="spellStart"/>
      <w:r w:rsidRPr="00CD48F9">
        <w:rPr>
          <w:lang w:val="ro-RO"/>
        </w:rPr>
        <w:t>Educaţiei</w:t>
      </w:r>
      <w:proofErr w:type="spellEnd"/>
      <w:r w:rsidRPr="00CD48F9">
        <w:rPr>
          <w:lang w:val="ro-RO"/>
        </w:rPr>
        <w:t xml:space="preserve"> </w:t>
      </w:r>
      <w:proofErr w:type="spellStart"/>
      <w:r w:rsidRPr="00CD48F9">
        <w:rPr>
          <w:lang w:val="ro-RO"/>
        </w:rPr>
        <w:t>Naţionale</w:t>
      </w:r>
      <w:proofErr w:type="spellEnd"/>
      <w:r w:rsidRPr="00CD48F9">
        <w:rPr>
          <w:rFonts w:eastAsia="Times New Roman" w:cs="Arial"/>
          <w:bCs/>
          <w:lang w:val="ro-RO" w:eastAsia="ro-RO"/>
        </w:rPr>
        <w:t xml:space="preserve">, </w:t>
      </w:r>
      <w:r w:rsidRPr="00CD48F9">
        <w:rPr>
          <w:lang w:val="ro-RO"/>
        </w:rPr>
        <w:t>Ministerul Agriculturii și Dezvoltării Rurale</w:t>
      </w:r>
      <w:r w:rsidRPr="00CD48F9">
        <w:rPr>
          <w:rFonts w:eastAsia="Times New Roman" w:cs="Arial"/>
          <w:bCs/>
          <w:lang w:val="ro-RO" w:eastAsia="ro-RO"/>
        </w:rPr>
        <w:t xml:space="preserve">, </w:t>
      </w:r>
      <w:r w:rsidRPr="00CD48F9">
        <w:rPr>
          <w:lang w:val="ro-RO"/>
        </w:rPr>
        <w:t xml:space="preserve">Ministerul </w:t>
      </w:r>
      <w:proofErr w:type="spellStart"/>
      <w:r w:rsidRPr="00CD48F9">
        <w:rPr>
          <w:lang w:val="ro-RO"/>
        </w:rPr>
        <w:t>Comunicaţiilor</w:t>
      </w:r>
      <w:proofErr w:type="spellEnd"/>
      <w:r w:rsidRPr="00CD48F9">
        <w:rPr>
          <w:lang w:val="ro-RO"/>
        </w:rPr>
        <w:t xml:space="preserve"> și Societății </w:t>
      </w:r>
      <w:proofErr w:type="spellStart"/>
      <w:r w:rsidRPr="00CD48F9">
        <w:rPr>
          <w:lang w:val="ro-RO"/>
        </w:rPr>
        <w:t>Informaţionale</w:t>
      </w:r>
      <w:proofErr w:type="spellEnd"/>
      <w:r w:rsidRPr="00CD48F9">
        <w:rPr>
          <w:rFonts w:eastAsia="Times New Roman" w:cs="Arial"/>
          <w:bCs/>
          <w:lang w:val="ro-RO" w:eastAsia="ro-RO"/>
        </w:rPr>
        <w:t xml:space="preserve">, </w:t>
      </w:r>
      <w:r w:rsidRPr="00CD48F9">
        <w:rPr>
          <w:lang w:val="ro-RO"/>
        </w:rPr>
        <w:t>Ministerul Transporturilor și</w:t>
      </w:r>
      <w:r w:rsidRPr="00CD48F9">
        <w:rPr>
          <w:rFonts w:eastAsia="Times New Roman" w:cs="Arial"/>
          <w:bCs/>
          <w:lang w:val="ro-RO" w:eastAsia="ro-RO"/>
        </w:rPr>
        <w:t xml:space="preserve"> </w:t>
      </w:r>
      <w:r w:rsidRPr="00CD48F9">
        <w:rPr>
          <w:lang w:val="ro-RO"/>
        </w:rPr>
        <w:t xml:space="preserve">Ministerul Muncii și Justiției Sociale </w:t>
      </w:r>
      <w:r w:rsidRPr="00CD48F9">
        <w:rPr>
          <w:rFonts w:eastAsia="Times New Roman" w:cs="Arial"/>
          <w:bCs/>
          <w:lang w:val="ro-RO" w:eastAsia="ro-RO"/>
        </w:rPr>
        <w:t>(instituții selectate prin tragere la sorți)</w:t>
      </w:r>
      <w:r w:rsidR="004840CB" w:rsidRPr="00CD48F9">
        <w:rPr>
          <w:rStyle w:val="FootnoteReference"/>
          <w:rFonts w:eastAsia="Times New Roman" w:cs="Arial"/>
          <w:bCs/>
          <w:lang w:val="ro-RO" w:eastAsia="ro-RO"/>
        </w:rPr>
        <w:footnoteReference w:id="7"/>
      </w:r>
      <w:r w:rsidRPr="00CD48F9">
        <w:rPr>
          <w:rFonts w:eastAsia="Times New Roman" w:cs="Arial"/>
          <w:bCs/>
          <w:lang w:val="ro-RO" w:eastAsia="ro-RO"/>
        </w:rPr>
        <w:t>.</w:t>
      </w:r>
    </w:p>
    <w:p w:rsidR="00F10C8E" w:rsidRPr="00CD48F9" w:rsidRDefault="00F10C8E" w:rsidP="00972E3A">
      <w:pPr>
        <w:tabs>
          <w:tab w:val="center" w:pos="709"/>
          <w:tab w:val="center" w:pos="4536"/>
          <w:tab w:val="right" w:pos="9072"/>
        </w:tabs>
        <w:spacing w:after="120" w:line="276" w:lineRule="auto"/>
        <w:rPr>
          <w:rFonts w:eastAsia="Times New Roman"/>
          <w:lang w:val="ro-RO" w:eastAsia="sk-SK"/>
        </w:rPr>
      </w:pPr>
      <w:r w:rsidRPr="00CD48F9">
        <w:rPr>
          <w:lang w:val="ro-RO"/>
        </w:rPr>
        <w:t xml:space="preserve">De asemenea, </w:t>
      </w:r>
      <w:r w:rsidR="004840CB" w:rsidRPr="00CD48F9">
        <w:rPr>
          <w:lang w:val="ro-RO"/>
        </w:rPr>
        <w:t xml:space="preserve">în același context, </w:t>
      </w:r>
      <w:r w:rsidRPr="00CD48F9">
        <w:rPr>
          <w:lang w:val="ro-RO"/>
        </w:rPr>
        <w:t xml:space="preserve">au fost selectate cele 10 instituții </w:t>
      </w:r>
      <w:r w:rsidR="004840CB" w:rsidRPr="00CD48F9">
        <w:rPr>
          <w:lang w:val="ro-RO"/>
        </w:rPr>
        <w:t>anticorupție și autorități independente</w:t>
      </w:r>
      <w:r w:rsidRPr="00CD48F9">
        <w:rPr>
          <w:lang w:val="ro-RO"/>
        </w:rPr>
        <w:t>: Direcția Generală Anticorupție (instituție care s-a oferit voluntar), Agenția Națională de Integritate, Consiliul Concurenței, Departamentul pentru Lupta Antifraudă, Autoritatea Electorală Permanentă, Oficiul Național de Prevenire și Combatere a Spălării Banilor, Înalta Curte de Casație și Justiție, Parchetul de pe lângă Înalta Curte de Casație și Justiție, Direcția Națională Anticorupție și Consiliul Superior al Magistraturii (instituții selectate prin tragere la sorți).</w:t>
      </w:r>
    </w:p>
    <w:p w:rsidR="009462A6" w:rsidRPr="00CD48F9" w:rsidRDefault="000A7851" w:rsidP="00972E3A">
      <w:pPr>
        <w:tabs>
          <w:tab w:val="center" w:pos="709"/>
          <w:tab w:val="center" w:pos="4536"/>
          <w:tab w:val="right" w:pos="9072"/>
        </w:tabs>
        <w:spacing w:after="120" w:line="276" w:lineRule="auto"/>
        <w:rPr>
          <w:rFonts w:eastAsia="Times New Roman" w:cs="Arial"/>
          <w:lang w:val="ro-RO"/>
        </w:rPr>
      </w:pPr>
      <w:r w:rsidRPr="00CD48F9">
        <w:rPr>
          <w:rFonts w:eastAsia="Times New Roman"/>
          <w:lang w:val="ro-RO" w:eastAsia="sk-SK"/>
        </w:rPr>
        <w:t>Misiunile de evaluare de tip “</w:t>
      </w:r>
      <w:proofErr w:type="spellStart"/>
      <w:r w:rsidRPr="00CD48F9">
        <w:rPr>
          <w:rFonts w:eastAsia="Times New Roman"/>
          <w:i/>
          <w:lang w:val="ro-RO" w:eastAsia="sk-SK"/>
        </w:rPr>
        <w:t>peer</w:t>
      </w:r>
      <w:proofErr w:type="spellEnd"/>
      <w:r w:rsidRPr="00CD48F9">
        <w:rPr>
          <w:rFonts w:eastAsia="Times New Roman"/>
          <w:i/>
          <w:lang w:val="ro-RO" w:eastAsia="sk-SK"/>
        </w:rPr>
        <w:t xml:space="preserve"> </w:t>
      </w:r>
      <w:proofErr w:type="spellStart"/>
      <w:r w:rsidRPr="00CD48F9">
        <w:rPr>
          <w:rFonts w:eastAsia="Times New Roman"/>
          <w:i/>
          <w:lang w:val="ro-RO" w:eastAsia="sk-SK"/>
        </w:rPr>
        <w:t>review</w:t>
      </w:r>
      <w:proofErr w:type="spellEnd"/>
      <w:r w:rsidRPr="00CD48F9">
        <w:rPr>
          <w:rFonts w:eastAsia="Times New Roman"/>
          <w:lang w:val="ro-RO" w:eastAsia="sk-SK"/>
        </w:rPr>
        <w:t>” au rolul de a oferi posibilitatea conturării unei imagini de ansamblu asupra deficiențelor și nevoilor existente la nivel instituțional, în materie de etică și integritate, pentru a putea interveni cu măsuri concrete acolo unde este cazul.</w:t>
      </w:r>
      <w:r w:rsidR="0054690F" w:rsidRPr="00CD48F9">
        <w:rPr>
          <w:rFonts w:eastAsia="Times New Roman" w:cs="Arial"/>
          <w:lang w:val="ro-RO"/>
        </w:rPr>
        <w:t xml:space="preserve"> Cele 20 de misiuni</w:t>
      </w:r>
      <w:r w:rsidR="009462A6" w:rsidRPr="00CD48F9">
        <w:rPr>
          <w:rFonts w:eastAsia="Times New Roman" w:cs="Arial"/>
          <w:bCs/>
          <w:lang w:val="ro-RO" w:eastAsia="ro-RO"/>
        </w:rPr>
        <w:t xml:space="preserve"> s-au derulat în perioada 2</w:t>
      </w:r>
      <w:r w:rsidR="009462A6" w:rsidRPr="00CD48F9">
        <w:rPr>
          <w:lang w:val="ro-RO"/>
        </w:rPr>
        <w:t>2 august – 7 noiembrie 2019</w:t>
      </w:r>
      <w:r w:rsidR="00F10C8E" w:rsidRPr="00CD48F9">
        <w:rPr>
          <w:rFonts w:eastAsia="Times New Roman" w:cs="Arial"/>
          <w:bCs/>
          <w:lang w:val="ro-RO" w:eastAsia="ro-RO"/>
        </w:rPr>
        <w:t>, prin intermediul</w:t>
      </w:r>
      <w:r w:rsidR="009462A6" w:rsidRPr="00CD48F9">
        <w:rPr>
          <w:rFonts w:eastAsia="Times New Roman" w:cs="Arial"/>
          <w:bCs/>
          <w:lang w:val="ro-RO" w:eastAsia="ro-RO"/>
        </w:rPr>
        <w:t xml:space="preserve"> proiectului POCA </w:t>
      </w:r>
      <w:r w:rsidR="009462A6" w:rsidRPr="00CD48F9">
        <w:rPr>
          <w:lang w:val="ro-RO"/>
        </w:rPr>
        <w:t>„</w:t>
      </w:r>
      <w:r w:rsidR="009462A6" w:rsidRPr="00CD48F9">
        <w:rPr>
          <w:i/>
          <w:lang w:val="ro-RO"/>
        </w:rPr>
        <w:t xml:space="preserve">Consolidarea capacității administrative a secretariatului tehnic al Strategiei </w:t>
      </w:r>
      <w:r w:rsidR="009462A6" w:rsidRPr="00CD48F9">
        <w:rPr>
          <w:rFonts w:eastAsia="Times New Roman" w:cs="Arial"/>
          <w:bCs/>
          <w:lang w:val="ro-RO" w:eastAsia="ro-RO"/>
        </w:rPr>
        <w:t>Naționale Anticorupție 2016-2020 de a sprijini implementarea măsurilor anticorupție”,</w:t>
      </w:r>
      <w:r w:rsidR="00F10C8E" w:rsidRPr="00CD48F9">
        <w:rPr>
          <w:rFonts w:eastAsia="Times New Roman" w:cs="Arial"/>
          <w:bCs/>
          <w:lang w:val="ro-RO" w:eastAsia="ro-RO"/>
        </w:rPr>
        <w:t xml:space="preserve"> Cod SIPOCA 62</w:t>
      </w:r>
      <w:r w:rsidR="00D06B4F" w:rsidRPr="00CD48F9">
        <w:rPr>
          <w:rFonts w:eastAsia="Times New Roman" w:cs="Arial"/>
          <w:bCs/>
          <w:lang w:val="ro-RO" w:eastAsia="ro-RO"/>
        </w:rPr>
        <w:t>, iar temele de evaluare au fost:</w:t>
      </w:r>
    </w:p>
    <w:p w:rsidR="00874194" w:rsidRPr="00CD48F9" w:rsidRDefault="007254A5" w:rsidP="007229AA">
      <w:pPr>
        <w:pStyle w:val="ListParagraph"/>
        <w:numPr>
          <w:ilvl w:val="0"/>
          <w:numId w:val="19"/>
        </w:numPr>
        <w:tabs>
          <w:tab w:val="center" w:pos="709"/>
          <w:tab w:val="center" w:pos="4536"/>
          <w:tab w:val="right" w:pos="9072"/>
        </w:tabs>
        <w:spacing w:after="120" w:line="276" w:lineRule="auto"/>
        <w:rPr>
          <w:rFonts w:eastAsia="Times New Roman" w:cs="Arial"/>
          <w:lang w:val="ro-RO"/>
        </w:rPr>
      </w:pPr>
      <w:r w:rsidRPr="00CD48F9">
        <w:rPr>
          <w:noProof/>
          <w:lang w:val="ro-RO"/>
        </w:rPr>
        <w:t>c</w:t>
      </w:r>
      <w:r w:rsidR="00874194" w:rsidRPr="00CD48F9">
        <w:rPr>
          <w:noProof/>
          <w:lang w:val="ro-RO"/>
        </w:rPr>
        <w:t xml:space="preserve">onflictul de interese în timpul și după exercitarea funcției, fiind inclus şi pantouflage-ul </w:t>
      </w:r>
      <w:r w:rsidR="00874194" w:rsidRPr="00CD48F9">
        <w:rPr>
          <w:rFonts w:eastAsia="Times New Roman" w:cs="Arial"/>
          <w:lang w:val="ro-RO"/>
        </w:rPr>
        <w:t xml:space="preserve">(Legea nr. 176/2010 </w:t>
      </w:r>
      <w:proofErr w:type="spellStart"/>
      <w:r w:rsidR="00874194" w:rsidRPr="00CD48F9">
        <w:rPr>
          <w:rFonts w:eastAsia="Times New Roman" w:cs="Arial"/>
          <w:lang w:val="ro-RO"/>
        </w:rPr>
        <w:t>şi</w:t>
      </w:r>
      <w:proofErr w:type="spellEnd"/>
      <w:r w:rsidR="00874194" w:rsidRPr="00CD48F9">
        <w:rPr>
          <w:rFonts w:eastAsia="Times New Roman" w:cs="Arial"/>
          <w:lang w:val="ro-RO"/>
        </w:rPr>
        <w:t xml:space="preserve"> Legea </w:t>
      </w:r>
      <w:r w:rsidR="00666CF0" w:rsidRPr="00CD48F9">
        <w:rPr>
          <w:rFonts w:eastAsia="Times New Roman" w:cs="Arial"/>
          <w:lang w:val="ro-RO"/>
        </w:rPr>
        <w:t xml:space="preserve">nr. </w:t>
      </w:r>
      <w:r w:rsidR="00874194" w:rsidRPr="00CD48F9">
        <w:rPr>
          <w:rFonts w:eastAsia="Times New Roman" w:cs="Arial"/>
          <w:lang w:val="ro-RO"/>
        </w:rPr>
        <w:t>161/2003);</w:t>
      </w:r>
    </w:p>
    <w:p w:rsidR="00874194" w:rsidRPr="00CD48F9" w:rsidRDefault="007254A5" w:rsidP="007229AA">
      <w:pPr>
        <w:pStyle w:val="ListParagraph"/>
        <w:numPr>
          <w:ilvl w:val="0"/>
          <w:numId w:val="19"/>
        </w:numPr>
        <w:tabs>
          <w:tab w:val="center" w:pos="709"/>
          <w:tab w:val="center" w:pos="4536"/>
          <w:tab w:val="right" w:pos="9072"/>
        </w:tabs>
        <w:spacing w:after="120" w:line="276" w:lineRule="auto"/>
        <w:rPr>
          <w:rFonts w:eastAsia="Times New Roman" w:cs="Arial"/>
          <w:lang w:val="ro-RO"/>
        </w:rPr>
      </w:pPr>
      <w:r w:rsidRPr="00CD48F9">
        <w:rPr>
          <w:noProof/>
          <w:lang w:val="ro-RO"/>
        </w:rPr>
        <w:t>t</w:t>
      </w:r>
      <w:r w:rsidR="00874194" w:rsidRPr="00CD48F9">
        <w:rPr>
          <w:noProof/>
          <w:lang w:val="ro-RO"/>
        </w:rPr>
        <w:t xml:space="preserve">ransparența instituțiilor publice și accesul la informațiile de interes public deținute de acestea (Legea </w:t>
      </w:r>
      <w:r w:rsidR="00666CF0" w:rsidRPr="00CD48F9">
        <w:rPr>
          <w:noProof/>
          <w:lang w:val="ro-RO"/>
        </w:rPr>
        <w:t xml:space="preserve">nr. </w:t>
      </w:r>
      <w:r w:rsidR="00874194" w:rsidRPr="00CD48F9">
        <w:rPr>
          <w:noProof/>
          <w:lang w:val="ro-RO"/>
        </w:rPr>
        <w:t>544/2001);</w:t>
      </w:r>
    </w:p>
    <w:p w:rsidR="006B6FB6" w:rsidRPr="00CD48F9" w:rsidRDefault="007254A5" w:rsidP="007229AA">
      <w:pPr>
        <w:pStyle w:val="ListParagraph"/>
        <w:numPr>
          <w:ilvl w:val="0"/>
          <w:numId w:val="19"/>
        </w:numPr>
        <w:tabs>
          <w:tab w:val="center" w:pos="709"/>
          <w:tab w:val="center" w:pos="4536"/>
          <w:tab w:val="right" w:pos="9072"/>
        </w:tabs>
        <w:spacing w:after="120" w:line="276" w:lineRule="auto"/>
        <w:rPr>
          <w:rFonts w:eastAsia="Times New Roman" w:cs="Arial"/>
          <w:lang w:val="ro-RO"/>
        </w:rPr>
      </w:pPr>
      <w:r w:rsidRPr="00CD48F9">
        <w:rPr>
          <w:noProof/>
          <w:lang w:val="ro-RO"/>
        </w:rPr>
        <w:t>i</w:t>
      </w:r>
      <w:r w:rsidR="00874194" w:rsidRPr="00CD48F9">
        <w:rPr>
          <w:noProof/>
          <w:lang w:val="ro-RO"/>
        </w:rPr>
        <w:t>ncompatibilități (</w:t>
      </w:r>
      <w:r w:rsidR="00874194" w:rsidRPr="00CD48F9">
        <w:rPr>
          <w:rFonts w:eastAsia="Times New Roman" w:cs="Arial"/>
          <w:lang w:val="ro-RO"/>
        </w:rPr>
        <w:t xml:space="preserve">Legea nr. 176/2010 </w:t>
      </w:r>
      <w:proofErr w:type="spellStart"/>
      <w:r w:rsidR="00874194" w:rsidRPr="00CD48F9">
        <w:rPr>
          <w:rFonts w:eastAsia="Times New Roman" w:cs="Arial"/>
          <w:lang w:val="ro-RO"/>
        </w:rPr>
        <w:t>şi</w:t>
      </w:r>
      <w:proofErr w:type="spellEnd"/>
      <w:r w:rsidR="00874194" w:rsidRPr="00CD48F9">
        <w:rPr>
          <w:rFonts w:eastAsia="Times New Roman" w:cs="Arial"/>
          <w:lang w:val="ro-RO"/>
        </w:rPr>
        <w:t xml:space="preserve"> Legea </w:t>
      </w:r>
      <w:r w:rsidR="00666CF0" w:rsidRPr="00CD48F9">
        <w:rPr>
          <w:rFonts w:eastAsia="Times New Roman" w:cs="Arial"/>
          <w:lang w:val="ro-RO"/>
        </w:rPr>
        <w:t xml:space="preserve">nr. </w:t>
      </w:r>
      <w:r w:rsidR="00874194" w:rsidRPr="00CD48F9">
        <w:rPr>
          <w:rFonts w:eastAsia="Times New Roman" w:cs="Arial"/>
          <w:lang w:val="ro-RO"/>
        </w:rPr>
        <w:t>161/2003</w:t>
      </w:r>
      <w:r w:rsidR="00874194" w:rsidRPr="00CD48F9">
        <w:rPr>
          <w:noProof/>
          <w:lang w:val="ro-RO"/>
        </w:rPr>
        <w:t>).</w:t>
      </w:r>
    </w:p>
    <w:p w:rsidR="008A326D" w:rsidRPr="00CD48F9" w:rsidRDefault="007F3A4A" w:rsidP="00972E3A">
      <w:pPr>
        <w:tabs>
          <w:tab w:val="center" w:pos="709"/>
          <w:tab w:val="center" w:pos="4536"/>
          <w:tab w:val="right" w:pos="9072"/>
        </w:tabs>
        <w:spacing w:after="120" w:line="276" w:lineRule="auto"/>
        <w:rPr>
          <w:rFonts w:eastAsia="Times New Roman" w:cs="Arial"/>
          <w:lang w:val="ro-RO"/>
        </w:rPr>
      </w:pPr>
      <w:r w:rsidRPr="00CD48F9">
        <w:rPr>
          <w:lang w:val="ro-RO"/>
        </w:rPr>
        <w:t>Evaluările tematice</w:t>
      </w:r>
      <w:r w:rsidR="008A326D" w:rsidRPr="00CD48F9">
        <w:rPr>
          <w:lang w:val="ro-RO"/>
        </w:rPr>
        <w:t xml:space="preserve"> au vizat 48 de entități</w:t>
      </w:r>
      <w:r w:rsidR="007E2C3B" w:rsidRPr="00CD48F9">
        <w:rPr>
          <w:lang w:val="ro-RO"/>
        </w:rPr>
        <w:t xml:space="preserve"> (inclusiv structuri subordonate/coordonate/sub au</w:t>
      </w:r>
      <w:r w:rsidR="00012785" w:rsidRPr="00CD48F9">
        <w:rPr>
          <w:lang w:val="ro-RO"/>
        </w:rPr>
        <w:t>t</w:t>
      </w:r>
      <w:r w:rsidR="007E2C3B" w:rsidRPr="00CD48F9">
        <w:rPr>
          <w:lang w:val="ro-RO"/>
        </w:rPr>
        <w:t>or</w:t>
      </w:r>
      <w:r w:rsidR="00012785" w:rsidRPr="00CD48F9">
        <w:rPr>
          <w:lang w:val="ro-RO"/>
        </w:rPr>
        <w:t>i</w:t>
      </w:r>
      <w:r w:rsidR="007E2C3B" w:rsidRPr="00CD48F9">
        <w:rPr>
          <w:lang w:val="ro-RO"/>
        </w:rPr>
        <w:t>tate)</w:t>
      </w:r>
      <w:r w:rsidRPr="00CD48F9">
        <w:rPr>
          <w:lang w:val="ro-RO"/>
        </w:rPr>
        <w:t>, fiind</w:t>
      </w:r>
      <w:r w:rsidR="008A326D" w:rsidRPr="00CD48F9">
        <w:rPr>
          <w:lang w:val="ro-RO"/>
        </w:rPr>
        <w:t xml:space="preserve"> finalizate</w:t>
      </w:r>
      <w:r w:rsidRPr="00CD48F9">
        <w:rPr>
          <w:lang w:val="ro-RO"/>
        </w:rPr>
        <w:t xml:space="preserve"> și adoptate, în unanimitate, în platformele organizate în decembrie</w:t>
      </w:r>
      <w:r w:rsidR="00D06B4F" w:rsidRPr="00CD48F9">
        <w:rPr>
          <w:lang w:val="ro-RO"/>
        </w:rPr>
        <w:t xml:space="preserve"> 2019</w:t>
      </w:r>
      <w:r w:rsidRPr="00CD48F9">
        <w:rPr>
          <w:lang w:val="ro-RO"/>
        </w:rPr>
        <w:t>,</w:t>
      </w:r>
      <w:r w:rsidR="008A326D" w:rsidRPr="00CD48F9">
        <w:rPr>
          <w:lang w:val="ro-RO"/>
        </w:rPr>
        <w:t xml:space="preserve"> </w:t>
      </w:r>
      <w:r w:rsidR="00D06B4F" w:rsidRPr="00CD48F9">
        <w:rPr>
          <w:lang w:val="ro-RO"/>
        </w:rPr>
        <w:t>8</w:t>
      </w:r>
      <w:r w:rsidR="008A326D" w:rsidRPr="00CD48F9">
        <w:rPr>
          <w:lang w:val="ro-RO"/>
        </w:rPr>
        <w:t xml:space="preserve"> rapoarte de evaluare. Dintre cele </w:t>
      </w:r>
      <w:r w:rsidR="00D06B4F" w:rsidRPr="00CD48F9">
        <w:rPr>
          <w:lang w:val="ro-RO"/>
        </w:rPr>
        <w:t>8</w:t>
      </w:r>
      <w:r w:rsidR="008A326D" w:rsidRPr="00CD48F9">
        <w:rPr>
          <w:lang w:val="ro-RO"/>
        </w:rPr>
        <w:t xml:space="preserve"> rapoarte finalizate, </w:t>
      </w:r>
      <w:r w:rsidR="00D06B4F" w:rsidRPr="00CD48F9">
        <w:rPr>
          <w:lang w:val="ro-RO"/>
        </w:rPr>
        <w:t xml:space="preserve">3 </w:t>
      </w:r>
      <w:r w:rsidR="008A326D" w:rsidRPr="00CD48F9">
        <w:rPr>
          <w:lang w:val="ro-RO"/>
        </w:rPr>
        <w:t>au fost aprob</w:t>
      </w:r>
      <w:r w:rsidRPr="00CD48F9">
        <w:rPr>
          <w:lang w:val="ro-RO"/>
        </w:rPr>
        <w:t xml:space="preserve">ate în platforma </w:t>
      </w:r>
      <w:r w:rsidR="00012785" w:rsidRPr="00CD48F9">
        <w:rPr>
          <w:lang w:val="ro-RO"/>
        </w:rPr>
        <w:t>administrației</w:t>
      </w:r>
      <w:r w:rsidR="008A326D" w:rsidRPr="00CD48F9">
        <w:rPr>
          <w:lang w:val="ro-RO"/>
        </w:rPr>
        <w:t xml:space="preserve"> publice centrale (Ministerul Economiei, Ministerul pentru Mediul de Afaceri, </w:t>
      </w:r>
      <w:proofErr w:type="spellStart"/>
      <w:r w:rsidR="008A326D" w:rsidRPr="00CD48F9">
        <w:rPr>
          <w:lang w:val="ro-RO"/>
        </w:rPr>
        <w:t>Comerţ</w:t>
      </w:r>
      <w:proofErr w:type="spellEnd"/>
      <w:r w:rsidR="008A326D" w:rsidRPr="00CD48F9">
        <w:rPr>
          <w:lang w:val="ro-RO"/>
        </w:rPr>
        <w:t xml:space="preserve"> </w:t>
      </w:r>
      <w:proofErr w:type="spellStart"/>
      <w:r w:rsidR="008A326D" w:rsidRPr="00CD48F9">
        <w:rPr>
          <w:lang w:val="ro-RO"/>
        </w:rPr>
        <w:t>şi</w:t>
      </w:r>
      <w:proofErr w:type="spellEnd"/>
      <w:r w:rsidR="008A326D" w:rsidRPr="00CD48F9">
        <w:rPr>
          <w:lang w:val="ro-RO"/>
        </w:rPr>
        <w:t xml:space="preserve"> </w:t>
      </w:r>
      <w:proofErr w:type="spellStart"/>
      <w:r w:rsidR="008A326D" w:rsidRPr="00CD48F9">
        <w:rPr>
          <w:lang w:val="ro-RO"/>
        </w:rPr>
        <w:t>Antreprenoriat</w:t>
      </w:r>
      <w:proofErr w:type="spellEnd"/>
      <w:r w:rsidR="008A326D" w:rsidRPr="00CD48F9">
        <w:rPr>
          <w:lang w:val="ro-RO"/>
        </w:rPr>
        <w:t xml:space="preserve"> </w:t>
      </w:r>
      <w:proofErr w:type="spellStart"/>
      <w:r w:rsidR="008A326D" w:rsidRPr="00CD48F9">
        <w:rPr>
          <w:lang w:val="ro-RO"/>
        </w:rPr>
        <w:t>şi</w:t>
      </w:r>
      <w:proofErr w:type="spellEnd"/>
      <w:r w:rsidR="008A326D" w:rsidRPr="00CD48F9">
        <w:rPr>
          <w:lang w:val="ro-RO"/>
        </w:rPr>
        <w:t xml:space="preserve"> Corpul de Control al Primului Ministru)</w:t>
      </w:r>
      <w:r w:rsidRPr="00CD48F9">
        <w:rPr>
          <w:lang w:val="ro-RO"/>
        </w:rPr>
        <w:t>,</w:t>
      </w:r>
      <w:r w:rsidR="008A326D" w:rsidRPr="00CD48F9">
        <w:rPr>
          <w:lang w:val="ro-RO"/>
        </w:rPr>
        <w:t xml:space="preserve"> iar </w:t>
      </w:r>
      <w:r w:rsidR="00D06B4F" w:rsidRPr="00CD48F9">
        <w:rPr>
          <w:lang w:val="ro-RO"/>
        </w:rPr>
        <w:t>5</w:t>
      </w:r>
      <w:r w:rsidR="008A326D" w:rsidRPr="00CD48F9">
        <w:rPr>
          <w:lang w:val="ro-RO"/>
        </w:rPr>
        <w:t xml:space="preserve"> au fost </w:t>
      </w:r>
      <w:r w:rsidR="008A326D" w:rsidRPr="00CD48F9">
        <w:rPr>
          <w:lang w:val="ro-RO"/>
        </w:rPr>
        <w:lastRenderedPageBreak/>
        <w:t>apro</w:t>
      </w:r>
      <w:r w:rsidRPr="00CD48F9">
        <w:rPr>
          <w:lang w:val="ro-RO"/>
        </w:rPr>
        <w:t>bate în platforma</w:t>
      </w:r>
      <w:r w:rsidR="008A326D" w:rsidRPr="00CD48F9">
        <w:rPr>
          <w:lang w:val="ro-RO"/>
        </w:rPr>
        <w:t xml:space="preserve"> </w:t>
      </w:r>
      <w:proofErr w:type="spellStart"/>
      <w:r w:rsidR="008A326D" w:rsidRPr="00CD48F9">
        <w:rPr>
          <w:lang w:val="ro-RO"/>
        </w:rPr>
        <w:t>autorităţilor</w:t>
      </w:r>
      <w:proofErr w:type="spellEnd"/>
      <w:r w:rsidR="008A326D" w:rsidRPr="00CD48F9">
        <w:rPr>
          <w:lang w:val="ro-RO"/>
        </w:rPr>
        <w:t xml:space="preserve"> independente </w:t>
      </w:r>
      <w:proofErr w:type="spellStart"/>
      <w:r w:rsidR="008A326D" w:rsidRPr="00CD48F9">
        <w:rPr>
          <w:lang w:val="ro-RO"/>
        </w:rPr>
        <w:t>şi</w:t>
      </w:r>
      <w:proofErr w:type="spellEnd"/>
      <w:r w:rsidR="008A326D" w:rsidRPr="00CD48F9">
        <w:rPr>
          <w:lang w:val="ro-RO"/>
        </w:rPr>
        <w:t xml:space="preserve"> a </w:t>
      </w:r>
      <w:proofErr w:type="spellStart"/>
      <w:r w:rsidR="008A326D" w:rsidRPr="00CD48F9">
        <w:rPr>
          <w:lang w:val="ro-RO"/>
        </w:rPr>
        <w:t>instituţiilor</w:t>
      </w:r>
      <w:proofErr w:type="spellEnd"/>
      <w:r w:rsidR="008A326D" w:rsidRPr="00CD48F9">
        <w:rPr>
          <w:lang w:val="ro-RO"/>
        </w:rPr>
        <w:t xml:space="preserve"> </w:t>
      </w:r>
      <w:proofErr w:type="spellStart"/>
      <w:r w:rsidR="008A326D" w:rsidRPr="00CD48F9">
        <w:rPr>
          <w:lang w:val="ro-RO"/>
        </w:rPr>
        <w:t>anticorupţie</w:t>
      </w:r>
      <w:proofErr w:type="spellEnd"/>
      <w:r w:rsidR="008A326D" w:rsidRPr="00CD48F9">
        <w:rPr>
          <w:lang w:val="ro-RO"/>
        </w:rPr>
        <w:t xml:space="preserve"> (Autoritatea Electorală Permanentă, </w:t>
      </w:r>
      <w:proofErr w:type="spellStart"/>
      <w:r w:rsidR="008A326D" w:rsidRPr="00CD48F9">
        <w:rPr>
          <w:lang w:val="ro-RO"/>
        </w:rPr>
        <w:t>Agenţia</w:t>
      </w:r>
      <w:proofErr w:type="spellEnd"/>
      <w:r w:rsidR="008A326D" w:rsidRPr="00CD48F9">
        <w:rPr>
          <w:lang w:val="ro-RO"/>
        </w:rPr>
        <w:t xml:space="preserve"> </w:t>
      </w:r>
      <w:proofErr w:type="spellStart"/>
      <w:r w:rsidR="008A326D" w:rsidRPr="00CD48F9">
        <w:rPr>
          <w:lang w:val="ro-RO"/>
        </w:rPr>
        <w:t>Naţională</w:t>
      </w:r>
      <w:proofErr w:type="spellEnd"/>
      <w:r w:rsidR="008A326D" w:rsidRPr="00CD48F9">
        <w:rPr>
          <w:lang w:val="ro-RO"/>
        </w:rPr>
        <w:t xml:space="preserve"> de Integritate, Departamentul pentru Lupta Antifraudă, Direcția Națională Anticorupție </w:t>
      </w:r>
      <w:proofErr w:type="spellStart"/>
      <w:r w:rsidR="008A326D" w:rsidRPr="00CD48F9">
        <w:rPr>
          <w:lang w:val="ro-RO"/>
        </w:rPr>
        <w:t>şi</w:t>
      </w:r>
      <w:proofErr w:type="spellEnd"/>
      <w:r w:rsidR="008A326D" w:rsidRPr="00CD48F9">
        <w:rPr>
          <w:lang w:val="ro-RO"/>
        </w:rPr>
        <w:t xml:space="preserve"> Parchetul de pe lângă Înalta Curte de Casație și Justiție). </w:t>
      </w:r>
      <w:r w:rsidR="00AE0D9C" w:rsidRPr="00CD48F9">
        <w:rPr>
          <w:rFonts w:eastAsia="Times New Roman" w:cs="Arial"/>
          <w:lang w:val="ro-RO"/>
        </w:rPr>
        <w:t>Deși erau elaborate și rapoartele privind misiunile de evaluare tematică derulate la nivelul Înaltei Curți de Casație și Justiție și a Ministerului Comunicațiilor și Societății Informaționale, cele două documente nu erau conciliate la momentul organizării reuniunilor, neputând fi spuse dezbaterii în vederea adoptării.</w:t>
      </w:r>
    </w:p>
    <w:p w:rsidR="008A326D" w:rsidRPr="00CD48F9" w:rsidRDefault="008A326D" w:rsidP="00972E3A">
      <w:pPr>
        <w:spacing w:after="120" w:line="276" w:lineRule="auto"/>
        <w:rPr>
          <w:lang w:val="ro-RO"/>
        </w:rPr>
      </w:pPr>
      <w:r w:rsidRPr="00CD48F9">
        <w:rPr>
          <w:lang w:val="ro-RO"/>
        </w:rPr>
        <w:t xml:space="preserve">Misiunile </w:t>
      </w:r>
      <w:r w:rsidR="007F3A4A" w:rsidRPr="00CD48F9">
        <w:rPr>
          <w:lang w:val="ro-RO"/>
        </w:rPr>
        <w:t>de evaluare tematică</w:t>
      </w:r>
      <w:r w:rsidRPr="00CD48F9">
        <w:rPr>
          <w:lang w:val="ro-RO"/>
        </w:rPr>
        <w:t xml:space="preserve"> au vizat </w:t>
      </w:r>
      <w:proofErr w:type="spellStart"/>
      <w:r w:rsidRPr="00CD48F9">
        <w:rPr>
          <w:lang w:val="ro-RO"/>
        </w:rPr>
        <w:t>şi</w:t>
      </w:r>
      <w:proofErr w:type="spellEnd"/>
      <w:r w:rsidRPr="00CD48F9">
        <w:rPr>
          <w:lang w:val="ro-RO"/>
        </w:rPr>
        <w:t xml:space="preserve"> întreprinderile publice aflate în subordonarea </w:t>
      </w:r>
      <w:proofErr w:type="spellStart"/>
      <w:r w:rsidRPr="00CD48F9">
        <w:rPr>
          <w:lang w:val="ro-RO"/>
        </w:rPr>
        <w:t>instituţiilor</w:t>
      </w:r>
      <w:proofErr w:type="spellEnd"/>
      <w:r w:rsidRPr="00CD48F9">
        <w:rPr>
          <w:lang w:val="ro-RO"/>
        </w:rPr>
        <w:t xml:space="preserve"> ce au fost selectate pentru derularea acestui mecanism de monitorizare. Astfel, din cele 48 de entități evaluate, 11 au fost întreprinderi publice</w:t>
      </w:r>
      <w:r w:rsidR="00012785" w:rsidRPr="00CD48F9">
        <w:rPr>
          <w:lang w:val="ro-RO"/>
        </w:rPr>
        <w:t>.</w:t>
      </w:r>
    </w:p>
    <w:p w:rsidR="008A326D" w:rsidRPr="00CD48F9" w:rsidRDefault="0054690F" w:rsidP="00972E3A">
      <w:pPr>
        <w:spacing w:after="120" w:line="276" w:lineRule="auto"/>
        <w:rPr>
          <w:lang w:val="ro-RO"/>
        </w:rPr>
      </w:pPr>
      <w:r w:rsidRPr="00CD48F9">
        <w:rPr>
          <w:lang w:val="ro-RO"/>
        </w:rPr>
        <w:t xml:space="preserve">Toate rapoartele de evaluare care nu au fost </w:t>
      </w:r>
      <w:r w:rsidR="007E2C3B" w:rsidRPr="00CD48F9">
        <w:rPr>
          <w:lang w:val="ro-RO"/>
        </w:rPr>
        <w:t>adoptate în anul 2019 vor fi suspuse acestei proceduri în cadrul primei reuniuni a platformelor</w:t>
      </w:r>
      <w:r w:rsidR="00AE0D9C" w:rsidRPr="00CD48F9">
        <w:rPr>
          <w:lang w:val="ro-RO"/>
        </w:rPr>
        <w:t>,</w:t>
      </w:r>
      <w:r w:rsidR="007E2C3B" w:rsidRPr="00CD48F9">
        <w:rPr>
          <w:lang w:val="ro-RO"/>
        </w:rPr>
        <w:t xml:space="preserve"> ce va fi organizată în anul 2020.</w:t>
      </w:r>
    </w:p>
    <w:p w:rsidR="00CD48F9" w:rsidRPr="00CD48F9" w:rsidRDefault="0043424D" w:rsidP="00BC740D">
      <w:pPr>
        <w:spacing w:after="120" w:line="276" w:lineRule="auto"/>
        <w:rPr>
          <w:lang w:val="ro-RO"/>
        </w:rPr>
      </w:pPr>
      <w:bookmarkStart w:id="8" w:name="_Toc3376512"/>
      <w:r w:rsidRPr="00CD48F9">
        <w:rPr>
          <w:rFonts w:eastAsia="Calibri"/>
          <w:lang w:val="ro-RO"/>
        </w:rPr>
        <w:t xml:space="preserve">De asemenea, reprezentanții ST SNA au participat </w:t>
      </w:r>
      <w:r w:rsidRPr="00CD48F9">
        <w:rPr>
          <w:lang w:val="ro-RO"/>
        </w:rPr>
        <w:t>la cele 90 de misiuni de evaluare derulate de Ministerul Dezvoltării Regionale și Administrației Publice</w:t>
      </w:r>
      <w:r w:rsidRPr="00CD48F9">
        <w:rPr>
          <w:rStyle w:val="FootnoteReference"/>
          <w:lang w:val="ro-RO"/>
        </w:rPr>
        <w:footnoteReference w:id="8"/>
      </w:r>
      <w:r w:rsidRPr="00CD48F9">
        <w:rPr>
          <w:lang w:val="ro-RO"/>
        </w:rPr>
        <w:t xml:space="preserve"> la nivelul tuturor consiliilor </w:t>
      </w:r>
      <w:proofErr w:type="spellStart"/>
      <w:r w:rsidRPr="00CD48F9">
        <w:rPr>
          <w:lang w:val="ro-RO"/>
        </w:rPr>
        <w:t>judeţene</w:t>
      </w:r>
      <w:proofErr w:type="spellEnd"/>
      <w:r w:rsidRPr="00CD48F9">
        <w:rPr>
          <w:lang w:val="ro-RO"/>
        </w:rPr>
        <w:t xml:space="preserve"> și primăriilor </w:t>
      </w:r>
      <w:proofErr w:type="spellStart"/>
      <w:r w:rsidRPr="00CD48F9">
        <w:rPr>
          <w:lang w:val="ro-RO"/>
        </w:rPr>
        <w:t>reşedinţă</w:t>
      </w:r>
      <w:proofErr w:type="spellEnd"/>
      <w:r w:rsidRPr="00CD48F9">
        <w:rPr>
          <w:lang w:val="ro-RO"/>
        </w:rPr>
        <w:t xml:space="preserve"> de </w:t>
      </w:r>
      <w:proofErr w:type="spellStart"/>
      <w:r w:rsidRPr="00CD48F9">
        <w:rPr>
          <w:lang w:val="ro-RO"/>
        </w:rPr>
        <w:t>judeţ</w:t>
      </w:r>
      <w:proofErr w:type="spellEnd"/>
      <w:r w:rsidRPr="00CD48F9">
        <w:rPr>
          <w:lang w:val="ro-RO"/>
        </w:rPr>
        <w:t xml:space="preserve">, primăriei Municipiului </w:t>
      </w:r>
      <w:proofErr w:type="spellStart"/>
      <w:r w:rsidRPr="00CD48F9">
        <w:rPr>
          <w:lang w:val="ro-RO"/>
        </w:rPr>
        <w:t>Bucureşti</w:t>
      </w:r>
      <w:proofErr w:type="spellEnd"/>
      <w:r w:rsidRPr="00CD48F9">
        <w:rPr>
          <w:lang w:val="ro-RO"/>
        </w:rPr>
        <w:t xml:space="preserve"> </w:t>
      </w:r>
      <w:proofErr w:type="spellStart"/>
      <w:r w:rsidRPr="00CD48F9">
        <w:rPr>
          <w:lang w:val="ro-RO"/>
        </w:rPr>
        <w:t>şi</w:t>
      </w:r>
      <w:proofErr w:type="spellEnd"/>
      <w:r w:rsidRPr="00CD48F9">
        <w:rPr>
          <w:lang w:val="ro-RO"/>
        </w:rPr>
        <w:t xml:space="preserve"> primăriilor de sector, aducându-și aportul la rapoartele elaborate în urma misiunilor.</w:t>
      </w:r>
    </w:p>
    <w:p w:rsidR="00CB03C6" w:rsidRPr="00CD48F9" w:rsidRDefault="00DC3572" w:rsidP="00972E3A">
      <w:pPr>
        <w:pStyle w:val="Title"/>
        <w:spacing w:before="0" w:after="120" w:line="276" w:lineRule="auto"/>
        <w:jc w:val="both"/>
        <w:rPr>
          <w:rFonts w:ascii="Trebuchet MS" w:hAnsi="Trebuchet MS"/>
          <w:sz w:val="22"/>
          <w:szCs w:val="22"/>
          <w:lang w:val="ro-RO" w:eastAsia="ro-RO"/>
        </w:rPr>
      </w:pPr>
      <w:r w:rsidRPr="00CD48F9">
        <w:rPr>
          <w:rFonts w:ascii="Trebuchet MS" w:hAnsi="Trebuchet MS"/>
          <w:sz w:val="22"/>
          <w:szCs w:val="22"/>
          <w:lang w:val="ro-RO" w:eastAsia="ro-RO"/>
        </w:rPr>
        <w:t>2.3.</w:t>
      </w:r>
      <w:r w:rsidR="00BC740D">
        <w:rPr>
          <w:rFonts w:ascii="Trebuchet MS" w:hAnsi="Trebuchet MS"/>
          <w:sz w:val="22"/>
          <w:szCs w:val="22"/>
          <w:lang w:val="ro-RO" w:eastAsia="ro-RO"/>
        </w:rPr>
        <w:t>5</w:t>
      </w:r>
      <w:r w:rsidR="00CB03C6" w:rsidRPr="00CD48F9">
        <w:rPr>
          <w:rFonts w:ascii="Trebuchet MS" w:hAnsi="Trebuchet MS"/>
          <w:sz w:val="22"/>
          <w:szCs w:val="22"/>
          <w:lang w:val="ro-RO" w:eastAsia="ro-RO"/>
        </w:rPr>
        <w:t xml:space="preserve">. </w:t>
      </w:r>
      <w:r w:rsidR="008D4B0A" w:rsidRPr="00CD48F9">
        <w:rPr>
          <w:rFonts w:ascii="Trebuchet MS" w:hAnsi="Trebuchet MS"/>
          <w:sz w:val="22"/>
          <w:szCs w:val="22"/>
          <w:lang w:val="ro-RO" w:eastAsia="ro-RO"/>
        </w:rPr>
        <w:t>Proiecte cu finanțare externă</w:t>
      </w:r>
      <w:bookmarkEnd w:id="8"/>
    </w:p>
    <w:p w:rsidR="002872DE" w:rsidRPr="00CD48F9" w:rsidRDefault="00FE5EC3" w:rsidP="00972E3A">
      <w:pPr>
        <w:tabs>
          <w:tab w:val="left" w:pos="2010"/>
        </w:tabs>
        <w:spacing w:after="120" w:line="276" w:lineRule="auto"/>
        <w:rPr>
          <w:lang w:val="ro-RO"/>
        </w:rPr>
      </w:pPr>
      <w:r w:rsidRPr="00CD48F9">
        <w:rPr>
          <w:lang w:val="ro-RO"/>
        </w:rPr>
        <w:t xml:space="preserve">Pentru a </w:t>
      </w:r>
      <w:r w:rsidR="002872DE" w:rsidRPr="00CD48F9">
        <w:rPr>
          <w:lang w:val="ro-RO"/>
        </w:rPr>
        <w:t xml:space="preserve">aduce la îndeplinire unele dintre măsurile prevăzute în SNA 2016-2020, respectiv în Planul de integritate al Ministerului Justiției pentru perioada 2017 -2020, MJ a </w:t>
      </w:r>
      <w:r w:rsidR="008D4B0A" w:rsidRPr="00CD48F9">
        <w:rPr>
          <w:lang w:val="ro-RO"/>
        </w:rPr>
        <w:t xml:space="preserve">continuat activitățile de implementare a proiectelor din fonduri UE destinate implementării măsurilor din SNA </w:t>
      </w:r>
      <w:r w:rsidR="002872DE" w:rsidRPr="00CD48F9">
        <w:rPr>
          <w:lang w:val="ro-RO"/>
        </w:rPr>
        <w:t>în calitate de lider de proiect sau de partener</w:t>
      </w:r>
      <w:r w:rsidR="00340A49" w:rsidRPr="00CD48F9">
        <w:rPr>
          <w:lang w:val="ro-RO"/>
        </w:rPr>
        <w:t>, după cum urmează</w:t>
      </w:r>
      <w:r w:rsidR="002872DE" w:rsidRPr="00CD48F9">
        <w:rPr>
          <w:lang w:val="ro-RO"/>
        </w:rPr>
        <w:t xml:space="preserve">: </w:t>
      </w:r>
    </w:p>
    <w:p w:rsidR="00E82535" w:rsidRPr="00CD48F9" w:rsidRDefault="002872DE" w:rsidP="0080034B">
      <w:pPr>
        <w:pStyle w:val="ListParagraph"/>
        <w:numPr>
          <w:ilvl w:val="0"/>
          <w:numId w:val="1"/>
        </w:numPr>
        <w:tabs>
          <w:tab w:val="left" w:pos="851"/>
        </w:tabs>
        <w:spacing w:after="120" w:line="276" w:lineRule="auto"/>
        <w:ind w:left="0" w:firstLine="357"/>
        <w:rPr>
          <w:lang w:val="ro-RO"/>
        </w:rPr>
      </w:pPr>
      <w:r w:rsidRPr="00CD48F9">
        <w:rPr>
          <w:lang w:val="ro-RO"/>
        </w:rPr>
        <w:t>L</w:t>
      </w:r>
      <w:r w:rsidR="00AB0247" w:rsidRPr="00CD48F9">
        <w:rPr>
          <w:lang w:val="ro-RO"/>
        </w:rPr>
        <w:t>a data de 21 noiembrie 2017</w:t>
      </w:r>
      <w:r w:rsidR="00725F84" w:rsidRPr="00CD48F9">
        <w:rPr>
          <w:lang w:val="ro-RO"/>
        </w:rPr>
        <w:t>,</w:t>
      </w:r>
      <w:r w:rsidR="00CB03C6" w:rsidRPr="00CD48F9">
        <w:rPr>
          <w:lang w:val="ro-RO"/>
        </w:rPr>
        <w:t xml:space="preserve"> </w:t>
      </w:r>
      <w:r w:rsidRPr="00CD48F9">
        <w:rPr>
          <w:lang w:val="ro-RO"/>
        </w:rPr>
        <w:t xml:space="preserve">MJ </w:t>
      </w:r>
      <w:r w:rsidR="00CB03C6" w:rsidRPr="00CD48F9">
        <w:rPr>
          <w:lang w:val="ro-RO"/>
        </w:rPr>
        <w:t xml:space="preserve">a semnat contractul </w:t>
      </w:r>
      <w:proofErr w:type="spellStart"/>
      <w:r w:rsidR="00CB03C6" w:rsidRPr="00CD48F9">
        <w:rPr>
          <w:lang w:val="ro-RO"/>
        </w:rPr>
        <w:t>finanţat</w:t>
      </w:r>
      <w:proofErr w:type="spellEnd"/>
      <w:r w:rsidR="00CB03C6" w:rsidRPr="00CD48F9">
        <w:rPr>
          <w:lang w:val="ro-RO"/>
        </w:rPr>
        <w:t xml:space="preserve"> prin fonduri</w:t>
      </w:r>
      <w:r w:rsidR="00296A30" w:rsidRPr="00CD48F9">
        <w:rPr>
          <w:lang w:val="ro-RO"/>
        </w:rPr>
        <w:t>le</w:t>
      </w:r>
      <w:r w:rsidR="00CB03C6" w:rsidRPr="00CD48F9">
        <w:rPr>
          <w:lang w:val="ro-RO"/>
        </w:rPr>
        <w:t xml:space="preserve"> Programul</w:t>
      </w:r>
      <w:r w:rsidR="00296A30" w:rsidRPr="00CD48F9">
        <w:rPr>
          <w:lang w:val="ro-RO"/>
        </w:rPr>
        <w:t>ui</w:t>
      </w:r>
      <w:r w:rsidR="00CB03C6" w:rsidRPr="00CD48F9">
        <w:rPr>
          <w:lang w:val="ro-RO"/>
        </w:rPr>
        <w:t xml:space="preserve"> </w:t>
      </w:r>
      <w:proofErr w:type="spellStart"/>
      <w:r w:rsidR="00CB03C6" w:rsidRPr="00CD48F9">
        <w:rPr>
          <w:lang w:val="ro-RO"/>
        </w:rPr>
        <w:t>Operaţ</w:t>
      </w:r>
      <w:r w:rsidR="00296A30" w:rsidRPr="00CD48F9">
        <w:rPr>
          <w:lang w:val="ro-RO"/>
        </w:rPr>
        <w:t>ional</w:t>
      </w:r>
      <w:proofErr w:type="spellEnd"/>
      <w:r w:rsidR="00296A30" w:rsidRPr="00CD48F9">
        <w:rPr>
          <w:lang w:val="ro-RO"/>
        </w:rPr>
        <w:t xml:space="preserve"> Capacitate Administrativă</w:t>
      </w:r>
      <w:r w:rsidR="00CB03C6" w:rsidRPr="00CD48F9">
        <w:rPr>
          <w:lang w:val="ro-RO"/>
        </w:rPr>
        <w:t xml:space="preserve"> </w:t>
      </w:r>
      <w:r w:rsidR="00296A30" w:rsidRPr="00CD48F9">
        <w:rPr>
          <w:lang w:val="ro-RO"/>
        </w:rPr>
        <w:t xml:space="preserve">(POCA) </w:t>
      </w:r>
      <w:r w:rsidR="00CB03C6" w:rsidRPr="00CD48F9">
        <w:rPr>
          <w:lang w:val="ro-RO"/>
        </w:rPr>
        <w:t>2014-2020, urmare a cererii de proiecte nr</w:t>
      </w:r>
      <w:r w:rsidR="00B84E73" w:rsidRPr="00CD48F9">
        <w:rPr>
          <w:lang w:val="ro-RO"/>
        </w:rPr>
        <w:t xml:space="preserve">. IP 7/2017, pentru </w:t>
      </w:r>
      <w:proofErr w:type="spellStart"/>
      <w:r w:rsidR="00B84E73" w:rsidRPr="00CD48F9">
        <w:rPr>
          <w:lang w:val="ro-RO"/>
        </w:rPr>
        <w:t>finanţarea</w:t>
      </w:r>
      <w:proofErr w:type="spellEnd"/>
      <w:r w:rsidR="00B84E73" w:rsidRPr="00CD48F9">
        <w:rPr>
          <w:lang w:val="ro-RO"/>
        </w:rPr>
        <w:t xml:space="preserve"> p</w:t>
      </w:r>
      <w:r w:rsidR="00CB03C6" w:rsidRPr="00CD48F9">
        <w:rPr>
          <w:lang w:val="ro-RO"/>
        </w:rPr>
        <w:t>roiectului „</w:t>
      </w:r>
      <w:r w:rsidR="00CB03C6" w:rsidRPr="00CD48F9">
        <w:rPr>
          <w:i/>
          <w:lang w:val="ro-RO"/>
        </w:rPr>
        <w:t>Consolidarea capacității administrative a secretariatului tehnic al Strategiei Naționale Anticorupție 2016-2020 de a sprijini implementarea măsurilor anticorupție</w:t>
      </w:r>
      <w:r w:rsidR="00CB03C6" w:rsidRPr="00CD48F9">
        <w:rPr>
          <w:lang w:val="ro-RO"/>
        </w:rPr>
        <w:t>”</w:t>
      </w:r>
      <w:r w:rsidR="00296A30" w:rsidRPr="00CD48F9">
        <w:rPr>
          <w:lang w:val="ro-RO"/>
        </w:rPr>
        <w:t xml:space="preserve">, </w:t>
      </w:r>
      <w:r w:rsidR="00725F84" w:rsidRPr="00CD48F9">
        <w:rPr>
          <w:lang w:val="ro-RO"/>
        </w:rPr>
        <w:t>Cod SIPOCA 62</w:t>
      </w:r>
      <w:r w:rsidR="00CB03C6" w:rsidRPr="00CD48F9">
        <w:rPr>
          <w:lang w:val="ro-RO"/>
        </w:rPr>
        <w:t>.</w:t>
      </w:r>
      <w:r w:rsidR="00BD0ADF" w:rsidRPr="00CD48F9">
        <w:rPr>
          <w:lang w:val="ro-RO"/>
        </w:rPr>
        <w:t xml:space="preserve"> Proiectul </w:t>
      </w:r>
      <w:r w:rsidR="00721D98" w:rsidRPr="00CD48F9">
        <w:rPr>
          <w:lang w:val="ro-RO"/>
        </w:rPr>
        <w:t>este</w:t>
      </w:r>
      <w:r w:rsidR="00BD0ADF" w:rsidRPr="00CD48F9">
        <w:rPr>
          <w:lang w:val="ro-RO"/>
        </w:rPr>
        <w:t xml:space="preserve"> derulat de MJ, ca lider de proiect, în parteneriat cu </w:t>
      </w:r>
      <w:proofErr w:type="spellStart"/>
      <w:r w:rsidR="00BD0ADF" w:rsidRPr="00CD48F9">
        <w:rPr>
          <w:lang w:val="ro-RO"/>
        </w:rPr>
        <w:t>Direcţia</w:t>
      </w:r>
      <w:proofErr w:type="spellEnd"/>
      <w:r w:rsidR="00BD0ADF" w:rsidRPr="00CD48F9">
        <w:rPr>
          <w:lang w:val="ro-RO"/>
        </w:rPr>
        <w:t xml:space="preserve"> Generală </w:t>
      </w:r>
      <w:proofErr w:type="spellStart"/>
      <w:r w:rsidR="00BD0ADF" w:rsidRPr="00CD48F9">
        <w:rPr>
          <w:lang w:val="ro-RO"/>
        </w:rPr>
        <w:t>Anticorupţie</w:t>
      </w:r>
      <w:proofErr w:type="spellEnd"/>
      <w:r w:rsidR="00BD0ADF" w:rsidRPr="00CD48F9">
        <w:rPr>
          <w:lang w:val="ro-RO"/>
        </w:rPr>
        <w:t xml:space="preserve"> (DGA) din cadrul MAI.</w:t>
      </w:r>
      <w:r w:rsidR="00725F84" w:rsidRPr="00CD48F9">
        <w:rPr>
          <w:lang w:val="ro-RO"/>
        </w:rPr>
        <w:t xml:space="preserve"> </w:t>
      </w:r>
      <w:r w:rsidR="00DC18FB" w:rsidRPr="00CD48F9">
        <w:rPr>
          <w:lang w:val="ro-RO"/>
        </w:rPr>
        <w:t>Perioada de implementare a proiectului este noiembrie 2017</w:t>
      </w:r>
      <w:r w:rsidR="00725F84" w:rsidRPr="00CD48F9">
        <w:rPr>
          <w:lang w:val="ro-RO"/>
        </w:rPr>
        <w:t xml:space="preserve"> – septembrie</w:t>
      </w:r>
      <w:r w:rsidR="00C45C06" w:rsidRPr="00CD48F9">
        <w:rPr>
          <w:lang w:val="ro-RO"/>
        </w:rPr>
        <w:t xml:space="preserve"> 2020</w:t>
      </w:r>
      <w:r w:rsidR="00DC18FB" w:rsidRPr="00CD48F9">
        <w:rPr>
          <w:lang w:val="ro-RO"/>
        </w:rPr>
        <w:t xml:space="preserve">, având </w:t>
      </w:r>
      <w:r w:rsidRPr="00CD48F9">
        <w:rPr>
          <w:lang w:val="ro-RO"/>
        </w:rPr>
        <w:t>la bază</w:t>
      </w:r>
      <w:r w:rsidR="00DC18FB" w:rsidRPr="00CD48F9">
        <w:rPr>
          <w:lang w:val="ro-RO"/>
        </w:rPr>
        <w:t xml:space="preserve"> acordul Autorității de Management POCA pentru prelungirea perioadei de implementare cu 6</w:t>
      </w:r>
      <w:r w:rsidR="00725F84" w:rsidRPr="00CD48F9">
        <w:rPr>
          <w:lang w:val="ro-RO"/>
        </w:rPr>
        <w:t>+6</w:t>
      </w:r>
      <w:r w:rsidR="00DC18FB" w:rsidRPr="00CD48F9">
        <w:rPr>
          <w:lang w:val="ro-RO"/>
        </w:rPr>
        <w:t xml:space="preserve"> luni</w:t>
      </w:r>
      <w:r w:rsidR="00CB03C6" w:rsidRPr="00CD48F9">
        <w:rPr>
          <w:lang w:val="ro-RO"/>
        </w:rPr>
        <w:t>.</w:t>
      </w:r>
      <w:r w:rsidR="00B84E73" w:rsidRPr="00CD48F9">
        <w:rPr>
          <w:lang w:val="ro-RO"/>
        </w:rPr>
        <w:t xml:space="preserve"> </w:t>
      </w:r>
    </w:p>
    <w:p w:rsidR="00CB03C6" w:rsidRPr="00CD48F9" w:rsidRDefault="00F71C8E" w:rsidP="00E82535">
      <w:pPr>
        <w:tabs>
          <w:tab w:val="left" w:pos="851"/>
        </w:tabs>
        <w:spacing w:after="120" w:line="276" w:lineRule="auto"/>
        <w:rPr>
          <w:lang w:val="ro-RO"/>
        </w:rPr>
      </w:pPr>
      <w:r w:rsidRPr="00CD48F9">
        <w:rPr>
          <w:lang w:val="ro-RO"/>
        </w:rPr>
        <w:t>În cadrul proiectului, ce</w:t>
      </w:r>
      <w:r w:rsidR="00CB03C6" w:rsidRPr="00CD48F9">
        <w:rPr>
          <w:lang w:val="ro-RO"/>
        </w:rPr>
        <w:t xml:space="preserve"> </w:t>
      </w:r>
      <w:r w:rsidR="00C45C06" w:rsidRPr="00CD48F9">
        <w:rPr>
          <w:lang w:val="ro-RO"/>
        </w:rPr>
        <w:t xml:space="preserve">vizează sprijinirea MJ </w:t>
      </w:r>
      <w:r w:rsidR="004A3A76" w:rsidRPr="00CD48F9">
        <w:rPr>
          <w:lang w:val="ro-RO"/>
        </w:rPr>
        <w:t>în implementarea</w:t>
      </w:r>
      <w:r w:rsidR="00CB03C6" w:rsidRPr="00CD48F9">
        <w:rPr>
          <w:lang w:val="ro-RO"/>
        </w:rPr>
        <w:t xml:space="preserve"> </w:t>
      </w:r>
      <w:r w:rsidR="00C45C06" w:rsidRPr="00CD48F9">
        <w:rPr>
          <w:lang w:val="ro-RO"/>
        </w:rPr>
        <w:t>unor măsuri</w:t>
      </w:r>
      <w:r w:rsidR="00CB03C6" w:rsidRPr="00CD48F9">
        <w:rPr>
          <w:lang w:val="ro-RO"/>
        </w:rPr>
        <w:t xml:space="preserve"> </w:t>
      </w:r>
      <w:r w:rsidR="00384A5E" w:rsidRPr="00CD48F9">
        <w:rPr>
          <w:lang w:val="ro-RO"/>
        </w:rPr>
        <w:t>prevăzute în SNA 2016-2020</w:t>
      </w:r>
      <w:r w:rsidR="00AD48CC" w:rsidRPr="00CD48F9">
        <w:rPr>
          <w:lang w:val="ro-RO"/>
        </w:rPr>
        <w:t>,</w:t>
      </w:r>
      <w:r w:rsidR="00B84E73" w:rsidRPr="00CD48F9">
        <w:rPr>
          <w:lang w:val="ro-RO"/>
        </w:rPr>
        <w:t xml:space="preserve"> </w:t>
      </w:r>
      <w:r w:rsidRPr="00CD48F9">
        <w:rPr>
          <w:lang w:val="ro-RO"/>
        </w:rPr>
        <w:t>au fost întreprinse</w:t>
      </w:r>
      <w:r w:rsidR="00B84E73" w:rsidRPr="00CD48F9">
        <w:rPr>
          <w:lang w:val="ro-RO"/>
        </w:rPr>
        <w:t xml:space="preserve"> următoarele activități</w:t>
      </w:r>
      <w:r w:rsidR="00CB03C6" w:rsidRPr="00CD48F9">
        <w:rPr>
          <w:lang w:val="ro-RO"/>
        </w:rPr>
        <w:t>:</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E</w:t>
      </w:r>
      <w:r w:rsidR="002025F8" w:rsidRPr="00CD48F9">
        <w:rPr>
          <w:lang w:val="ro-RO"/>
        </w:rPr>
        <w:t>valuarea</w:t>
      </w:r>
      <w:r w:rsidR="00CB03C6" w:rsidRPr="00CD48F9">
        <w:rPr>
          <w:lang w:val="ro-RO"/>
        </w:rPr>
        <w:t xml:space="preserve"> legislației privind protecția avertizorilor de integritate și migrația angajaților din sectorul public</w:t>
      </w:r>
      <w:r w:rsidR="00A92544" w:rsidRPr="00CD48F9">
        <w:rPr>
          <w:lang w:val="ro-RO"/>
        </w:rPr>
        <w:t xml:space="preserve"> în cel privat,</w:t>
      </w:r>
      <w:r w:rsidR="00384A5E" w:rsidRPr="00CD48F9">
        <w:rPr>
          <w:lang w:val="ro-RO"/>
        </w:rPr>
        <w:t xml:space="preserve"> pe b</w:t>
      </w:r>
      <w:r w:rsidR="00A92544" w:rsidRPr="00CD48F9">
        <w:rPr>
          <w:lang w:val="ro-RO"/>
        </w:rPr>
        <w:t>aza unui studiu comparat</w:t>
      </w:r>
      <w:r w:rsidR="00CB03C6" w:rsidRPr="00CD48F9">
        <w:rPr>
          <w:lang w:val="ro-RO"/>
        </w:rPr>
        <w:t>.</w:t>
      </w:r>
    </w:p>
    <w:p w:rsidR="00E82535" w:rsidRPr="00CD48F9" w:rsidRDefault="00E82535" w:rsidP="00E82535">
      <w:pPr>
        <w:tabs>
          <w:tab w:val="left" w:pos="810"/>
        </w:tabs>
        <w:spacing w:after="120" w:line="276" w:lineRule="auto"/>
        <w:rPr>
          <w:lang w:val="ro-RO"/>
        </w:rPr>
      </w:pPr>
      <w:r w:rsidRPr="00CD48F9">
        <w:rPr>
          <w:lang w:val="ro-RO"/>
        </w:rPr>
        <w:t>În perioada octombrie – noiembrie 2019</w:t>
      </w:r>
      <w:r w:rsidR="005A11E4" w:rsidRPr="00CD48F9">
        <w:rPr>
          <w:lang w:val="ro-RO"/>
        </w:rPr>
        <w:t>,</w:t>
      </w:r>
      <w:r w:rsidRPr="00CD48F9">
        <w:rPr>
          <w:lang w:val="ro-RO"/>
        </w:rPr>
        <w:t xml:space="preserve"> au avut loc două vizite de studiu în Franța și Olanda, pentru elaborarea studiului de drept comparat </w:t>
      </w:r>
      <w:r w:rsidRPr="00CD48F9">
        <w:rPr>
          <w:i/>
          <w:lang w:val="ro-RO"/>
        </w:rPr>
        <w:t>„Evaluarea legislației privind instituția avertizorului în interes public și interdicțiile post-angajare (</w:t>
      </w:r>
      <w:proofErr w:type="spellStart"/>
      <w:r w:rsidRPr="00CD48F9">
        <w:rPr>
          <w:i/>
          <w:lang w:val="ro-RO"/>
        </w:rPr>
        <w:t>pantouflage-ul</w:t>
      </w:r>
      <w:proofErr w:type="spellEnd"/>
      <w:r w:rsidRPr="00CD48F9">
        <w:rPr>
          <w:i/>
          <w:lang w:val="ro-RO"/>
        </w:rPr>
        <w:t>)”</w:t>
      </w:r>
      <w:r w:rsidRPr="00CD48F9">
        <w:rPr>
          <w:lang w:val="ro-RO"/>
        </w:rPr>
        <w:t xml:space="preserve">. Studiul analizează, la nivel teoretic și practic, cinci modele existente la nivel european și internațional, având rolul de a evidenția exemplele de bună practică ce pot constitui baza unor propuneri de îmbunătățire a cadrului legislativ și instituțional existente în România. La data de 30 ianuarie 2020 a fost organizată o dezbatere pe cele două teme vizate de studiu, activitate programată inițial pentru a fi desfășurată în anul 2019 dar care a fost amânată, deoarece studiul nu a fost finalizat în timp util. La dezbatere au participat reprezentanții platformelor constituite la nivelul SNA 2016-2020, precum și specialiști/experți în domeniul </w:t>
      </w:r>
      <w:r w:rsidRPr="00CD48F9">
        <w:rPr>
          <w:lang w:val="ro-RO"/>
        </w:rPr>
        <w:lastRenderedPageBreak/>
        <w:t xml:space="preserve">temelor abordate. Ulterior dezbaterii, studiul a fost modificat pentru a reflecta discuțiile purtate pe cele două teme. Varianta finală a documentului </w:t>
      </w:r>
      <w:r w:rsidR="00395E35" w:rsidRPr="00CD48F9">
        <w:rPr>
          <w:lang w:val="ro-RO"/>
        </w:rPr>
        <w:t>a fost agreată de MJ și prestator</w:t>
      </w:r>
      <w:r w:rsidRPr="00CD48F9">
        <w:rPr>
          <w:lang w:val="ro-RO"/>
        </w:rPr>
        <w:t>.</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G</w:t>
      </w:r>
      <w:r w:rsidR="00CB03C6" w:rsidRPr="00CD48F9">
        <w:rPr>
          <w:lang w:val="ro-RO"/>
        </w:rPr>
        <w:t>enerarea unui scor de tip index al integrității instituționale pentru sectoarele vulner</w:t>
      </w:r>
      <w:r w:rsidR="00BE7056" w:rsidRPr="00CD48F9">
        <w:rPr>
          <w:lang w:val="ro-RO"/>
        </w:rPr>
        <w:t>abile identificate în strategie</w:t>
      </w:r>
    </w:p>
    <w:p w:rsidR="00BE7056" w:rsidRPr="00CD48F9" w:rsidRDefault="00BE7056" w:rsidP="00BE7056">
      <w:pPr>
        <w:spacing w:after="120" w:line="276" w:lineRule="auto"/>
        <w:rPr>
          <w:lang w:val="ro-RO"/>
        </w:rPr>
      </w:pPr>
      <w:r w:rsidRPr="00CD48F9">
        <w:rPr>
          <w:lang w:val="ro-RO"/>
        </w:rPr>
        <w:t xml:space="preserve">În noiembrie 2019 a fost finalizată metodologia de realizare a unui scor de tip index al </w:t>
      </w:r>
      <w:proofErr w:type="spellStart"/>
      <w:r w:rsidRPr="00CD48F9">
        <w:rPr>
          <w:lang w:val="ro-RO"/>
        </w:rPr>
        <w:t>integrităţii</w:t>
      </w:r>
      <w:proofErr w:type="spellEnd"/>
      <w:r w:rsidRPr="00CD48F9">
        <w:rPr>
          <w:lang w:val="ro-RO"/>
        </w:rPr>
        <w:t xml:space="preserve"> </w:t>
      </w:r>
      <w:proofErr w:type="spellStart"/>
      <w:r w:rsidRPr="00CD48F9">
        <w:rPr>
          <w:lang w:val="ro-RO"/>
        </w:rPr>
        <w:t>instituţionale</w:t>
      </w:r>
      <w:proofErr w:type="spellEnd"/>
      <w:r w:rsidRPr="00CD48F9">
        <w:rPr>
          <w:lang w:val="ro-RO"/>
        </w:rPr>
        <w:t xml:space="preserve"> pentru sectoarele vulnerabile identificate în SNA (sistemul public de sănătate, sistemul național de </w:t>
      </w:r>
      <w:proofErr w:type="spellStart"/>
      <w:r w:rsidRPr="00CD48F9">
        <w:rPr>
          <w:lang w:val="ro-RO"/>
        </w:rPr>
        <w:t>educaţie</w:t>
      </w:r>
      <w:proofErr w:type="spellEnd"/>
      <w:r w:rsidRPr="00CD48F9">
        <w:rPr>
          <w:lang w:val="ro-RO"/>
        </w:rPr>
        <w:t xml:space="preserve">, activitatea membrilor Parlamentului, sistemul judiciar, </w:t>
      </w:r>
      <w:proofErr w:type="spellStart"/>
      <w:r w:rsidRPr="00CD48F9">
        <w:rPr>
          <w:lang w:val="ro-RO"/>
        </w:rPr>
        <w:t>finanţarea</w:t>
      </w:r>
      <w:proofErr w:type="spellEnd"/>
      <w:r w:rsidRPr="00CD48F9">
        <w:rPr>
          <w:lang w:val="ro-RO"/>
        </w:rPr>
        <w:t xml:space="preserve"> partidelor politice </w:t>
      </w:r>
      <w:proofErr w:type="spellStart"/>
      <w:r w:rsidRPr="00CD48F9">
        <w:rPr>
          <w:lang w:val="ro-RO"/>
        </w:rPr>
        <w:t>şi</w:t>
      </w:r>
      <w:proofErr w:type="spellEnd"/>
      <w:r w:rsidRPr="00CD48F9">
        <w:rPr>
          <w:lang w:val="ro-RO"/>
        </w:rPr>
        <w:t xml:space="preserve"> a campaniilor electorale, domeniul </w:t>
      </w:r>
      <w:proofErr w:type="spellStart"/>
      <w:r w:rsidRPr="00CD48F9">
        <w:rPr>
          <w:lang w:val="ro-RO"/>
        </w:rPr>
        <w:t>achiziţiilor</w:t>
      </w:r>
      <w:proofErr w:type="spellEnd"/>
      <w:r w:rsidRPr="00CD48F9">
        <w:rPr>
          <w:lang w:val="ro-RO"/>
        </w:rPr>
        <w:t xml:space="preserve"> publice, mediul de afaceri, administrația publică locală). </w:t>
      </w:r>
      <w:r w:rsidR="005301AF" w:rsidRPr="00CD48F9">
        <w:rPr>
          <w:lang w:val="ro-RO"/>
        </w:rPr>
        <w:t xml:space="preserve">Documentul a fost revizuit </w:t>
      </w:r>
      <w:r w:rsidR="009E7CDF" w:rsidRPr="00CD48F9">
        <w:rPr>
          <w:lang w:val="ro-RO"/>
        </w:rPr>
        <w:t>în conformitate cu propunerea prestatorului</w:t>
      </w:r>
      <w:r w:rsidR="0083745C" w:rsidRPr="00CD48F9">
        <w:rPr>
          <w:lang w:val="ro-RO"/>
        </w:rPr>
        <w:t>, formă finală fiind agreată de MJ și prestator.</w:t>
      </w:r>
      <w:r w:rsidR="009E7CDF" w:rsidRPr="00CD48F9">
        <w:rPr>
          <w:lang w:val="ro-RO"/>
        </w:rPr>
        <w:t xml:space="preserve"> </w:t>
      </w:r>
      <w:r w:rsidRPr="00CD48F9">
        <w:rPr>
          <w:lang w:val="ro-RO"/>
        </w:rPr>
        <w:t>În baza acesteia, se va calcula scorul de tip index, pe</w:t>
      </w:r>
      <w:r w:rsidR="005A11E4" w:rsidRPr="00CD48F9">
        <w:rPr>
          <w:lang w:val="ro-RO"/>
        </w:rPr>
        <w:t>ntru</w:t>
      </w:r>
      <w:r w:rsidRPr="00CD48F9">
        <w:rPr>
          <w:lang w:val="ro-RO"/>
        </w:rPr>
        <w:t xml:space="preserve"> anul 2018, al integrității instituționale pentru sectoarele vulnerabile </w:t>
      </w:r>
      <w:proofErr w:type="spellStart"/>
      <w:r w:rsidRPr="00CD48F9">
        <w:rPr>
          <w:lang w:val="ro-RO"/>
        </w:rPr>
        <w:t>menţionate</w:t>
      </w:r>
      <w:proofErr w:type="spellEnd"/>
      <w:r w:rsidRPr="00CD48F9">
        <w:rPr>
          <w:lang w:val="ro-RO"/>
        </w:rPr>
        <w:t xml:space="preserve"> mai sus. Documentul este în curs de elaborare.</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E</w:t>
      </w:r>
      <w:r w:rsidR="00CB03C6" w:rsidRPr="00CD48F9">
        <w:rPr>
          <w:lang w:val="ro-RO"/>
        </w:rPr>
        <w:t>fectuarea unui audit extern independent, pentru a a</w:t>
      </w:r>
      <w:r w:rsidR="00A92544" w:rsidRPr="00CD48F9">
        <w:rPr>
          <w:lang w:val="ro-RO"/>
        </w:rPr>
        <w:t>naliza impactul SNA 2016 – 2020</w:t>
      </w:r>
      <w:r w:rsidR="00CB03C6" w:rsidRPr="00CD48F9">
        <w:rPr>
          <w:lang w:val="ro-RO"/>
        </w:rPr>
        <w:t xml:space="preserve"> de la momentul</w:t>
      </w:r>
      <w:r w:rsidR="00861C25" w:rsidRPr="00CD48F9">
        <w:rPr>
          <w:lang w:val="ro-RO"/>
        </w:rPr>
        <w:t xml:space="preserve"> adoptării și până în anul 2018</w:t>
      </w:r>
    </w:p>
    <w:p w:rsidR="00BE7056" w:rsidRPr="00CD48F9" w:rsidRDefault="00BE7056" w:rsidP="00BE7056">
      <w:pPr>
        <w:spacing w:after="120" w:line="276" w:lineRule="auto"/>
        <w:rPr>
          <w:color w:val="FF0000"/>
          <w:lang w:val="ro-RO"/>
        </w:rPr>
      </w:pPr>
      <w:r w:rsidRPr="00CD48F9">
        <w:rPr>
          <w:lang w:val="ro-RO"/>
        </w:rPr>
        <w:t xml:space="preserve">În decembrie 2019 a fost definitivată versiunea preliminară a </w:t>
      </w:r>
      <w:r w:rsidRPr="00CD48F9">
        <w:rPr>
          <w:i/>
          <w:lang w:val="ro-RO"/>
        </w:rPr>
        <w:t>Raportului de audit intermediar privind implementarea SNA 2016-2020</w:t>
      </w:r>
      <w:r w:rsidRPr="00CD48F9">
        <w:rPr>
          <w:lang w:val="ro-RO"/>
        </w:rPr>
        <w:t xml:space="preserve">. Documentul evaluează factorii de succes sau de </w:t>
      </w:r>
      <w:proofErr w:type="spellStart"/>
      <w:r w:rsidRPr="00CD48F9">
        <w:rPr>
          <w:lang w:val="ro-RO"/>
        </w:rPr>
        <w:t>eşec</w:t>
      </w:r>
      <w:proofErr w:type="spellEnd"/>
      <w:r w:rsidRPr="00CD48F9">
        <w:rPr>
          <w:lang w:val="ro-RO"/>
        </w:rPr>
        <w:t xml:space="preserve">, sustenabilitatea rezultatelor </w:t>
      </w:r>
      <w:proofErr w:type="spellStart"/>
      <w:r w:rsidRPr="00CD48F9">
        <w:rPr>
          <w:lang w:val="ro-RO"/>
        </w:rPr>
        <w:t>şi</w:t>
      </w:r>
      <w:proofErr w:type="spellEnd"/>
      <w:r w:rsidRPr="00CD48F9">
        <w:rPr>
          <w:lang w:val="ro-RO"/>
        </w:rPr>
        <w:t xml:space="preserve"> impactului SNA, precum </w:t>
      </w:r>
      <w:proofErr w:type="spellStart"/>
      <w:r w:rsidRPr="00CD48F9">
        <w:rPr>
          <w:lang w:val="ro-RO"/>
        </w:rPr>
        <w:t>şi</w:t>
      </w:r>
      <w:proofErr w:type="spellEnd"/>
      <w:r w:rsidRPr="00CD48F9">
        <w:rPr>
          <w:lang w:val="ro-RO"/>
        </w:rPr>
        <w:t xml:space="preserve"> </w:t>
      </w:r>
      <w:proofErr w:type="spellStart"/>
      <w:r w:rsidRPr="00CD48F9">
        <w:rPr>
          <w:lang w:val="ro-RO"/>
        </w:rPr>
        <w:t>eficienţa</w:t>
      </w:r>
      <w:proofErr w:type="spellEnd"/>
      <w:r w:rsidRPr="00CD48F9">
        <w:rPr>
          <w:lang w:val="ro-RO"/>
        </w:rPr>
        <w:t xml:space="preserve"> </w:t>
      </w:r>
      <w:proofErr w:type="spellStart"/>
      <w:r w:rsidRPr="00CD48F9">
        <w:rPr>
          <w:lang w:val="ro-RO"/>
        </w:rPr>
        <w:t>intervenţiilor</w:t>
      </w:r>
      <w:proofErr w:type="spellEnd"/>
      <w:r w:rsidRPr="00CD48F9">
        <w:rPr>
          <w:lang w:val="ro-RO"/>
        </w:rPr>
        <w:t xml:space="preserve"> și va fi finalizat în primul semestru al anului 2020.</w:t>
      </w:r>
    </w:p>
    <w:p w:rsidR="005A11E4"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O</w:t>
      </w:r>
      <w:r w:rsidR="00CB03C6" w:rsidRPr="00CD48F9">
        <w:rPr>
          <w:lang w:val="ro-RO"/>
        </w:rPr>
        <w:t>rganizarea și derularea a 20 de misiuni de tip „</w:t>
      </w:r>
      <w:proofErr w:type="spellStart"/>
      <w:r w:rsidR="00CB03C6" w:rsidRPr="00CD48F9">
        <w:rPr>
          <w:lang w:val="ro-RO"/>
        </w:rPr>
        <w:t>peer</w:t>
      </w:r>
      <w:proofErr w:type="spellEnd"/>
      <w:r w:rsidR="00CB03C6" w:rsidRPr="00CD48F9">
        <w:rPr>
          <w:lang w:val="ro-RO"/>
        </w:rPr>
        <w:t xml:space="preserve"> </w:t>
      </w:r>
      <w:proofErr w:type="spellStart"/>
      <w:r w:rsidR="00CB03C6" w:rsidRPr="00CD48F9">
        <w:rPr>
          <w:lang w:val="ro-RO"/>
        </w:rPr>
        <w:t>review</w:t>
      </w:r>
      <w:proofErr w:type="spellEnd"/>
      <w:r w:rsidR="00CB03C6" w:rsidRPr="00CD48F9">
        <w:rPr>
          <w:lang w:val="ro-RO"/>
        </w:rPr>
        <w:t>” pentru evaluarea  modului în care sunt implementate măsurile de transparență instituțională și de prevenire a corupției</w:t>
      </w:r>
      <w:r w:rsidR="00861C25" w:rsidRPr="00CD48F9">
        <w:rPr>
          <w:lang w:val="ro-RO"/>
        </w:rPr>
        <w:t xml:space="preserve"> </w:t>
      </w:r>
      <w:r w:rsidR="005A11E4" w:rsidRPr="00CD48F9">
        <w:rPr>
          <w:lang w:val="ro-RO"/>
        </w:rPr>
        <w:t>la nivel central</w:t>
      </w:r>
    </w:p>
    <w:p w:rsidR="005A11E4" w:rsidRPr="00CD48F9" w:rsidRDefault="005A11E4" w:rsidP="005A11E4">
      <w:pPr>
        <w:tabs>
          <w:tab w:val="left" w:pos="810"/>
        </w:tabs>
        <w:spacing w:after="120" w:line="276" w:lineRule="auto"/>
        <w:rPr>
          <w:lang w:val="ro-RO"/>
        </w:rPr>
      </w:pPr>
      <w:r w:rsidRPr="00CD48F9">
        <w:rPr>
          <w:rFonts w:eastAsia="Times New Roman" w:cs="Arial"/>
          <w:bCs/>
          <w:lang w:val="ro-RO" w:eastAsia="ro-RO"/>
        </w:rPr>
        <w:t>Activitatea a fost derulată în perioada 2</w:t>
      </w:r>
      <w:r w:rsidRPr="00CD48F9">
        <w:rPr>
          <w:lang w:val="ro-RO"/>
        </w:rPr>
        <w:t>2 august – 7 noiembrie 2019, așa cum se prezintă la secțiunea 2.3.3. din raport.</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D</w:t>
      </w:r>
      <w:r w:rsidR="006C4CCC" w:rsidRPr="00CD48F9">
        <w:rPr>
          <w:lang w:val="ro-RO"/>
        </w:rPr>
        <w:t xml:space="preserve">iseminarea unui un model general de bune practici </w:t>
      </w:r>
      <w:r w:rsidR="00861C25" w:rsidRPr="00CD48F9">
        <w:rPr>
          <w:lang w:val="ro-RO"/>
        </w:rPr>
        <w:t>identificate în urma derulării misiunilor de tip „</w:t>
      </w:r>
      <w:proofErr w:type="spellStart"/>
      <w:r w:rsidR="00861C25" w:rsidRPr="00CD48F9">
        <w:rPr>
          <w:i/>
          <w:lang w:val="ro-RO"/>
        </w:rPr>
        <w:t>peer</w:t>
      </w:r>
      <w:proofErr w:type="spellEnd"/>
      <w:r w:rsidR="00861C25" w:rsidRPr="00CD48F9">
        <w:rPr>
          <w:i/>
          <w:lang w:val="ro-RO"/>
        </w:rPr>
        <w:t xml:space="preserve"> </w:t>
      </w:r>
      <w:proofErr w:type="spellStart"/>
      <w:r w:rsidR="00861C25" w:rsidRPr="00CD48F9">
        <w:rPr>
          <w:i/>
          <w:lang w:val="ro-RO"/>
        </w:rPr>
        <w:t>review</w:t>
      </w:r>
      <w:proofErr w:type="spellEnd"/>
      <w:r w:rsidR="00861C25" w:rsidRPr="00CD48F9">
        <w:rPr>
          <w:lang w:val="ro-RO"/>
        </w:rPr>
        <w:t>”</w:t>
      </w:r>
    </w:p>
    <w:p w:rsidR="005A11E4" w:rsidRPr="00CD48F9" w:rsidRDefault="005A11E4" w:rsidP="005A11E4">
      <w:pPr>
        <w:spacing w:after="120" w:line="276" w:lineRule="auto"/>
        <w:rPr>
          <w:lang w:val="ro-RO"/>
        </w:rPr>
      </w:pPr>
      <w:r w:rsidRPr="00CD48F9">
        <w:rPr>
          <w:lang w:val="ro-RO"/>
        </w:rPr>
        <w:t xml:space="preserve">Activitatea de elaborare și diseminare a unui model general de bune practici, în urma derulării misiunilor de evaluare tematică, derivă din activitatea prevăzută la punctul IV., care s-a finalizat la data de 7 noiembrie 2019. Documentul va fi elaborat și diseminat în cursul anului 2020. </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O</w:t>
      </w:r>
      <w:r w:rsidR="00CB03C6" w:rsidRPr="00CD48F9">
        <w:rPr>
          <w:lang w:val="ro-RO"/>
        </w:rPr>
        <w:t>rganizarea unei sesiuni de instruire a personalului di</w:t>
      </w:r>
      <w:r w:rsidR="006C4CCC" w:rsidRPr="00CD48F9">
        <w:rPr>
          <w:lang w:val="ro-RO"/>
        </w:rPr>
        <w:t xml:space="preserve">n cadrul MJ </w:t>
      </w:r>
      <w:r w:rsidR="00CB03C6" w:rsidRPr="00CD48F9">
        <w:rPr>
          <w:lang w:val="ro-RO"/>
        </w:rPr>
        <w:t>și al unităților subordona</w:t>
      </w:r>
      <w:r w:rsidR="006C4CCC" w:rsidRPr="00CD48F9">
        <w:rPr>
          <w:lang w:val="ro-RO"/>
        </w:rPr>
        <w:t>te</w:t>
      </w:r>
    </w:p>
    <w:p w:rsidR="00826883" w:rsidRPr="00CD48F9" w:rsidRDefault="00826883" w:rsidP="00826883">
      <w:pPr>
        <w:tabs>
          <w:tab w:val="left" w:pos="810"/>
        </w:tabs>
        <w:spacing w:after="120" w:line="276" w:lineRule="auto"/>
        <w:rPr>
          <w:lang w:val="ro-RO"/>
        </w:rPr>
      </w:pPr>
      <w:r w:rsidRPr="00CD48F9">
        <w:rPr>
          <w:lang w:val="ro-RO"/>
        </w:rPr>
        <w:t xml:space="preserve">În perioada 2 - 4 septembrie 2019, a avut loc, la Sinaia, sesiunea de instruire a personalului din cadrul MJ și al unităților subordonate, cu privire la măsurile de </w:t>
      </w:r>
      <w:proofErr w:type="spellStart"/>
      <w:r w:rsidRPr="00CD48F9">
        <w:rPr>
          <w:lang w:val="ro-RO"/>
        </w:rPr>
        <w:t>transparenţă</w:t>
      </w:r>
      <w:proofErr w:type="spellEnd"/>
      <w:r w:rsidRPr="00CD48F9">
        <w:rPr>
          <w:lang w:val="ro-RO"/>
        </w:rPr>
        <w:t xml:space="preserve"> </w:t>
      </w:r>
      <w:proofErr w:type="spellStart"/>
      <w:r w:rsidRPr="00CD48F9">
        <w:rPr>
          <w:lang w:val="ro-RO"/>
        </w:rPr>
        <w:t>instituţională</w:t>
      </w:r>
      <w:proofErr w:type="spellEnd"/>
      <w:r w:rsidRPr="00CD48F9">
        <w:rPr>
          <w:lang w:val="ro-RO"/>
        </w:rPr>
        <w:t xml:space="preserve"> </w:t>
      </w:r>
      <w:proofErr w:type="spellStart"/>
      <w:r w:rsidRPr="00CD48F9">
        <w:rPr>
          <w:lang w:val="ro-RO"/>
        </w:rPr>
        <w:t>şi</w:t>
      </w:r>
      <w:proofErr w:type="spellEnd"/>
      <w:r w:rsidRPr="00CD48F9">
        <w:rPr>
          <w:lang w:val="ro-RO"/>
        </w:rPr>
        <w:t xml:space="preserve"> de prevenire a </w:t>
      </w:r>
      <w:proofErr w:type="spellStart"/>
      <w:r w:rsidRPr="00CD48F9">
        <w:rPr>
          <w:lang w:val="ro-RO"/>
        </w:rPr>
        <w:t>corupţiei</w:t>
      </w:r>
      <w:proofErr w:type="spellEnd"/>
      <w:r w:rsidRPr="00CD48F9">
        <w:rPr>
          <w:lang w:val="ro-RO"/>
        </w:rPr>
        <w:t xml:space="preserve"> prevăzute de anexa 3 la SNA 2016 – 2020, la care au participat 30 de persoane.</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O</w:t>
      </w:r>
      <w:r w:rsidR="00CB03C6" w:rsidRPr="00CD48F9">
        <w:rPr>
          <w:lang w:val="ro-RO"/>
        </w:rPr>
        <w:t>rganizarea unor sesiuni de formare profesională pentru personalul administrației publice centrale și accesarea de pe platforma e-</w:t>
      </w:r>
      <w:proofErr w:type="spellStart"/>
      <w:r w:rsidR="00CB03C6" w:rsidRPr="00CD48F9">
        <w:rPr>
          <w:lang w:val="ro-RO"/>
        </w:rPr>
        <w:t>l</w:t>
      </w:r>
      <w:r w:rsidR="006C4CCC" w:rsidRPr="00CD48F9">
        <w:rPr>
          <w:lang w:val="ro-RO"/>
        </w:rPr>
        <w:t>earning</w:t>
      </w:r>
      <w:proofErr w:type="spellEnd"/>
      <w:r w:rsidR="006C4CCC" w:rsidRPr="00CD48F9">
        <w:rPr>
          <w:lang w:val="ro-RO"/>
        </w:rPr>
        <w:t xml:space="preserve"> a MJ</w:t>
      </w:r>
      <w:r w:rsidR="005A11E4" w:rsidRPr="00CD48F9">
        <w:rPr>
          <w:lang w:val="ro-RO"/>
        </w:rPr>
        <w:t xml:space="preserve"> a materialelor</w:t>
      </w:r>
    </w:p>
    <w:p w:rsidR="005A11E4" w:rsidRPr="00CD48F9" w:rsidRDefault="005A11E4" w:rsidP="005A11E4">
      <w:pPr>
        <w:pStyle w:val="ListParagraph"/>
        <w:rPr>
          <w:lang w:val="ro-RO"/>
        </w:rPr>
      </w:pPr>
    </w:p>
    <w:p w:rsidR="00826883" w:rsidRPr="00CD48F9" w:rsidRDefault="00826883" w:rsidP="00826883">
      <w:pPr>
        <w:spacing w:after="120" w:line="276" w:lineRule="auto"/>
        <w:rPr>
          <w:color w:val="FF0000"/>
          <w:lang w:val="ro-RO"/>
        </w:rPr>
      </w:pPr>
      <w:r w:rsidRPr="00CD48F9">
        <w:rPr>
          <w:lang w:val="ro-RO"/>
        </w:rPr>
        <w:t>În cursul anului 2019 a fost stabilită componența grupelor de cursanți (instituțiile din cadrul cărora provin) și orașele în care se vor desfășura cele 20 de sesiuni de instruire a personalului din cadrul administrației publice, materialele și suportul de curs urmând a fi transformate în format e-</w:t>
      </w:r>
      <w:proofErr w:type="spellStart"/>
      <w:r w:rsidRPr="00CD48F9">
        <w:rPr>
          <w:lang w:val="ro-RO"/>
        </w:rPr>
        <w:t>learning</w:t>
      </w:r>
      <w:proofErr w:type="spellEnd"/>
      <w:r w:rsidRPr="00CD48F9">
        <w:rPr>
          <w:lang w:val="ro-RO"/>
        </w:rPr>
        <w:t xml:space="preserve"> și publicate pe platforma e-</w:t>
      </w:r>
      <w:proofErr w:type="spellStart"/>
      <w:r w:rsidRPr="00CD48F9">
        <w:rPr>
          <w:lang w:val="ro-RO"/>
        </w:rPr>
        <w:t>learning</w:t>
      </w:r>
      <w:proofErr w:type="spellEnd"/>
      <w:r w:rsidRPr="00CD48F9">
        <w:rPr>
          <w:lang w:val="ro-RO"/>
        </w:rPr>
        <w:t xml:space="preserve"> a MJ. </w:t>
      </w:r>
    </w:p>
    <w:p w:rsidR="00BE705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E</w:t>
      </w:r>
      <w:r w:rsidR="006C4CCC" w:rsidRPr="00CD48F9">
        <w:rPr>
          <w:lang w:val="ro-RO"/>
        </w:rPr>
        <w:t>fectuarea unui studiu criminologic</w:t>
      </w:r>
      <w:r w:rsidR="00CB03C6" w:rsidRPr="00CD48F9">
        <w:rPr>
          <w:lang w:val="ro-RO"/>
        </w:rPr>
        <w:t xml:space="preserve"> și </w:t>
      </w:r>
      <w:r w:rsidR="006C4CCC" w:rsidRPr="00CD48F9">
        <w:rPr>
          <w:lang w:val="ro-RO"/>
        </w:rPr>
        <w:t>a unei</w:t>
      </w:r>
      <w:r w:rsidR="00CB03C6" w:rsidRPr="00CD48F9">
        <w:rPr>
          <w:lang w:val="ro-RO"/>
        </w:rPr>
        <w:t xml:space="preserve"> cercetări sociologice privind f</w:t>
      </w:r>
      <w:r w:rsidR="00861C25" w:rsidRPr="00CD48F9">
        <w:rPr>
          <w:lang w:val="ro-RO"/>
        </w:rPr>
        <w:t>enomenul de corupție în România</w:t>
      </w:r>
    </w:p>
    <w:p w:rsidR="00BE7056" w:rsidRPr="00CD48F9" w:rsidRDefault="00BE7056" w:rsidP="00BE7056">
      <w:pPr>
        <w:spacing w:after="120" w:line="276" w:lineRule="auto"/>
        <w:rPr>
          <w:lang w:val="ro-RO"/>
        </w:rPr>
      </w:pPr>
      <w:r w:rsidRPr="00CD48F9">
        <w:rPr>
          <w:lang w:val="ro-RO"/>
        </w:rPr>
        <w:lastRenderedPageBreak/>
        <w:t xml:space="preserve">Studiul criminologic și cercetarea sociologică nu au putut fi efectuate în anul 2019, motivul fiind cel al lipsei ofertanților în cadrul celor două proceduri de achiziție publică lansate de MJ. Cele două activități se derulează în anul 2020, astfel: studiul criminologic este realizat la nivelul MJ, prin reprezentanții DPC și ai Institutului Național de Criminologie, iar cercetarea sociologică este realizat de către Direcția Generală Anticorupție din cadrul Ministerului Afacerilor Interne, în calitate de partener de proiect. Atât studiul, cât și cercetarea sunt în curs de </w:t>
      </w:r>
      <w:r w:rsidR="005A11E4" w:rsidRPr="00CD48F9">
        <w:rPr>
          <w:lang w:val="ro-RO"/>
        </w:rPr>
        <w:t>desfășurare</w:t>
      </w:r>
      <w:r w:rsidRPr="00CD48F9">
        <w:rPr>
          <w:lang w:val="ro-RO"/>
        </w:rPr>
        <w:t xml:space="preserve">. </w:t>
      </w:r>
    </w:p>
    <w:p w:rsidR="00CB03C6"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O</w:t>
      </w:r>
      <w:r w:rsidR="00CB03C6" w:rsidRPr="00CD48F9">
        <w:rPr>
          <w:lang w:val="ro-RO"/>
        </w:rPr>
        <w:t>rganizarea a două conferințe anticorupție, care vor permite dezbaterea și prezentarea inclusiv a rezultatelor intermediare ale activităților</w:t>
      </w:r>
      <w:r w:rsidR="00BE7056" w:rsidRPr="00CD48F9">
        <w:rPr>
          <w:lang w:val="ro-RO"/>
        </w:rPr>
        <w:t xml:space="preserve"> derulate în cadrul proiectului</w:t>
      </w:r>
    </w:p>
    <w:p w:rsidR="00BE7056" w:rsidRPr="00CD48F9" w:rsidRDefault="00BE7056" w:rsidP="00BE7056">
      <w:pPr>
        <w:spacing w:after="120" w:line="276" w:lineRule="auto"/>
        <w:rPr>
          <w:lang w:val="ro-RO"/>
        </w:rPr>
      </w:pPr>
      <w:r w:rsidRPr="00CD48F9">
        <w:rPr>
          <w:lang w:val="ro-RO"/>
        </w:rPr>
        <w:t xml:space="preserve">La data de 9 decembrie 2019 a avut loc Conferința Anuală Anticorupție, cu ocazia Zilei Internaționale Anticorupție. În cadrul evenimentului au fost prezentate concluziile preliminare ale misiunilor de evaluare, de evaluare tematică, concluziile prealabile ale activității de audit intermediar privind progresele înregistrate în implementarea SNA în perioada 2016 – 2018 și rezultatele analizei comparative privind instituția avertizorului în interes public și interdicțiile post angajare. La eveniment au fost invitați </w:t>
      </w:r>
      <w:proofErr w:type="spellStart"/>
      <w:r w:rsidRPr="00CD48F9">
        <w:rPr>
          <w:lang w:val="ro-RO"/>
        </w:rPr>
        <w:t>reprezentanţi</w:t>
      </w:r>
      <w:proofErr w:type="spellEnd"/>
      <w:r w:rsidRPr="00CD48F9">
        <w:rPr>
          <w:lang w:val="ro-RO"/>
        </w:rPr>
        <w:t xml:space="preserve"> ai tuturor </w:t>
      </w:r>
      <w:proofErr w:type="spellStart"/>
      <w:r w:rsidRPr="00CD48F9">
        <w:rPr>
          <w:lang w:val="ro-RO"/>
        </w:rPr>
        <w:t>instituţiilor</w:t>
      </w:r>
      <w:proofErr w:type="spellEnd"/>
      <w:r w:rsidRPr="00CD48F9">
        <w:rPr>
          <w:lang w:val="ro-RO"/>
        </w:rPr>
        <w:t xml:space="preserve"> și autorităților publice implicate în implementarea SNA, precum </w:t>
      </w:r>
      <w:proofErr w:type="spellStart"/>
      <w:r w:rsidRPr="00CD48F9">
        <w:rPr>
          <w:lang w:val="ro-RO"/>
        </w:rPr>
        <w:t>şi</w:t>
      </w:r>
      <w:proofErr w:type="spellEnd"/>
      <w:r w:rsidRPr="00CD48F9">
        <w:rPr>
          <w:lang w:val="ro-RO"/>
        </w:rPr>
        <w:t xml:space="preserve"> parteneri din mediul de afaceri </w:t>
      </w:r>
      <w:proofErr w:type="spellStart"/>
      <w:r w:rsidRPr="00CD48F9">
        <w:rPr>
          <w:lang w:val="ro-RO"/>
        </w:rPr>
        <w:t>şi</w:t>
      </w:r>
      <w:proofErr w:type="spellEnd"/>
      <w:r w:rsidRPr="00CD48F9">
        <w:rPr>
          <w:lang w:val="ro-RO"/>
        </w:rPr>
        <w:t xml:space="preserve"> societatea civilă. Cea de-a doua conferință anticorupție va fi organizată în anul 2020.</w:t>
      </w:r>
    </w:p>
    <w:p w:rsidR="006726A5" w:rsidRPr="00CD48F9" w:rsidRDefault="00F71C8E" w:rsidP="0080034B">
      <w:pPr>
        <w:pStyle w:val="ListParagraph"/>
        <w:numPr>
          <w:ilvl w:val="0"/>
          <w:numId w:val="2"/>
        </w:numPr>
        <w:tabs>
          <w:tab w:val="left" w:pos="810"/>
        </w:tabs>
        <w:spacing w:after="120" w:line="276" w:lineRule="auto"/>
        <w:ind w:left="0" w:firstLine="360"/>
        <w:rPr>
          <w:lang w:val="ro-RO"/>
        </w:rPr>
      </w:pPr>
      <w:r w:rsidRPr="00CD48F9">
        <w:rPr>
          <w:lang w:val="ro-RO"/>
        </w:rPr>
        <w:t>O</w:t>
      </w:r>
      <w:r w:rsidR="00CB03C6" w:rsidRPr="00CD48F9">
        <w:rPr>
          <w:lang w:val="ro-RO"/>
        </w:rPr>
        <w:t>rganizarea și derularea unei campanii de informare publică, în vederea creșterii gradului de conștientizare și a nivelului de educației anticorupție în rândul personalului din instituțiile și autoritățile publice centrale și al cetățenilor.</w:t>
      </w:r>
    </w:p>
    <w:p w:rsidR="00F71C8E" w:rsidRPr="00CD48F9" w:rsidRDefault="00F71C8E" w:rsidP="00826883">
      <w:pPr>
        <w:spacing w:after="120" w:line="276" w:lineRule="auto"/>
        <w:rPr>
          <w:lang w:val="ro-RO"/>
        </w:rPr>
      </w:pPr>
      <w:r w:rsidRPr="00CD48F9">
        <w:rPr>
          <w:lang w:val="ro-RO"/>
        </w:rPr>
        <w:t>La data de 04 noiembrie 2019 a fost republicat anunțul de participare pentru achiziția “Servicii de consultanță pentru elaborarea și implementarea unei campanii de informare publică”. Anunțul a fost publicat în SEAP, JOUE, pe site-ul publicitatepublica.ro și pe site-ul Ministerului Justiției. Data limită pentru depunerea ofertelor a fost 05 decembrie 2019, dată la care a avut loc ședința de vizualizare a ofertelor, comisia de evaluare constatând că a fost depusă o singură ofertă, care a și intrat în procedura de evaluare. Această procedură a fost anulată, întrucât nu a fost depusă nicio ofertă admisibilă.</w:t>
      </w:r>
    </w:p>
    <w:p w:rsidR="008D7E05" w:rsidRPr="00CD48F9" w:rsidRDefault="00AB0247" w:rsidP="0080034B">
      <w:pPr>
        <w:pStyle w:val="ListParagraph"/>
        <w:numPr>
          <w:ilvl w:val="0"/>
          <w:numId w:val="1"/>
        </w:numPr>
        <w:tabs>
          <w:tab w:val="left" w:pos="851"/>
        </w:tabs>
        <w:spacing w:after="120" w:line="276" w:lineRule="auto"/>
        <w:ind w:left="0" w:firstLine="357"/>
        <w:rPr>
          <w:rFonts w:eastAsia="Times New Roman" w:cs="Arial"/>
          <w:bCs/>
          <w:lang w:val="ro-RO" w:eastAsia="ro-RO"/>
        </w:rPr>
      </w:pPr>
      <w:r w:rsidRPr="00CD48F9">
        <w:rPr>
          <w:lang w:val="ro-RO"/>
        </w:rPr>
        <w:t>La data de 19 iunie 2018 a fost semnat contractul de  finanțare aferent proiectului</w:t>
      </w:r>
      <w:r w:rsidRPr="00CD48F9">
        <w:rPr>
          <w:i/>
          <w:lang w:val="ro-RO"/>
        </w:rPr>
        <w:t xml:space="preserve"> </w:t>
      </w:r>
      <w:r w:rsidR="00B84E73" w:rsidRPr="00CD48F9">
        <w:rPr>
          <w:lang w:val="ro-RO"/>
        </w:rPr>
        <w:t>„</w:t>
      </w:r>
      <w:r w:rsidR="00B84E73" w:rsidRPr="00CD48F9">
        <w:rPr>
          <w:i/>
          <w:lang w:val="ro-RO"/>
        </w:rPr>
        <w:t>Mecanisme eficace de control administrativ și de prevenire a corupției</w:t>
      </w:r>
      <w:r w:rsidR="00B84E73" w:rsidRPr="00CD48F9">
        <w:rPr>
          <w:lang w:val="ro-RO"/>
        </w:rPr>
        <w:t>”,</w:t>
      </w:r>
      <w:r w:rsidRPr="00CD48F9">
        <w:rPr>
          <w:lang w:val="ro-RO"/>
        </w:rPr>
        <w:t xml:space="preserve"> cod SIPOCA 432, d</w:t>
      </w:r>
      <w:r w:rsidR="00B84E73" w:rsidRPr="00CD48F9">
        <w:rPr>
          <w:lang w:val="ro-RO"/>
        </w:rPr>
        <w:t>erulat de către Secretariatul General al Guvernului</w:t>
      </w:r>
      <w:r w:rsidRPr="00CD48F9">
        <w:rPr>
          <w:lang w:val="ro-RO"/>
        </w:rPr>
        <w:t xml:space="preserve"> (prin Corpul de control al primului-ministru, Direcția control intern managerial și relații interinstituționale și Departamentul pentru strategii guvernamentale)</w:t>
      </w:r>
      <w:r w:rsidR="00112609" w:rsidRPr="00CD48F9">
        <w:rPr>
          <w:lang w:val="ro-RO"/>
        </w:rPr>
        <w:t>,</w:t>
      </w:r>
      <w:r w:rsidRPr="00CD48F9">
        <w:rPr>
          <w:lang w:val="ro-RO"/>
        </w:rPr>
        <w:t xml:space="preserve"> în calitate de lider de proiect</w:t>
      </w:r>
      <w:r w:rsidR="00112609" w:rsidRPr="00CD48F9">
        <w:rPr>
          <w:lang w:val="ro-RO"/>
        </w:rPr>
        <w:t xml:space="preserve"> și MJ, în calitate de partener. Scopul proiectului îl constituie consolidarea mecanismelor de control administrativ și de prevenire a corupției în administrația publică centrală. Una din activitățile proiectului o reprezintă publicarea unui studiu privind sistemul </w:t>
      </w:r>
      <w:proofErr w:type="spellStart"/>
      <w:r w:rsidR="00112609" w:rsidRPr="00CD48F9">
        <w:rPr>
          <w:lang w:val="ro-RO"/>
        </w:rPr>
        <w:t>sancţiunilor</w:t>
      </w:r>
      <w:proofErr w:type="spellEnd"/>
      <w:r w:rsidR="00112609" w:rsidRPr="00CD48F9">
        <w:rPr>
          <w:lang w:val="ro-RO"/>
        </w:rPr>
        <w:t xml:space="preserve"> administrative </w:t>
      </w:r>
      <w:proofErr w:type="spellStart"/>
      <w:r w:rsidR="00112609" w:rsidRPr="00CD48F9">
        <w:rPr>
          <w:lang w:val="ro-RO"/>
        </w:rPr>
        <w:t>şi</w:t>
      </w:r>
      <w:proofErr w:type="spellEnd"/>
      <w:r w:rsidR="00112609" w:rsidRPr="00CD48F9">
        <w:rPr>
          <w:lang w:val="ro-RO"/>
        </w:rPr>
        <w:t xml:space="preserve"> implementarea lui. Întreprinderea demersurilor necesare în vederea realizării acestei componente a proiectului intră în sarcina MJ, în calitate de partener în proiect, iar rezultatul urmărit vine în sprijinul implementării Obiectivului specific 5.1. - Consolidarea mecanismelor de control administrativ</w:t>
      </w:r>
      <w:r w:rsidR="00112609" w:rsidRPr="00CD48F9">
        <w:rPr>
          <w:rStyle w:val="FootnoteReference"/>
          <w:lang w:val="ro-RO"/>
        </w:rPr>
        <w:footnoteReference w:id="9"/>
      </w:r>
      <w:r w:rsidR="00112609" w:rsidRPr="00CD48F9">
        <w:rPr>
          <w:lang w:val="ro-RO"/>
        </w:rPr>
        <w:t xml:space="preserve"> din Planul de integritate al Ministerului Justiției pentru perioada 2017-2020. </w:t>
      </w:r>
    </w:p>
    <w:p w:rsidR="00CE21C2" w:rsidRPr="00CD48F9" w:rsidRDefault="00A06B45" w:rsidP="00972E3A">
      <w:pPr>
        <w:tabs>
          <w:tab w:val="left" w:pos="851"/>
        </w:tabs>
        <w:spacing w:after="120" w:line="276" w:lineRule="auto"/>
        <w:rPr>
          <w:lang w:val="ro-RO"/>
        </w:rPr>
      </w:pPr>
      <w:r w:rsidRPr="00CD48F9">
        <w:rPr>
          <w:lang w:val="ro-RO"/>
        </w:rPr>
        <w:t>Î</w:t>
      </w:r>
      <w:r w:rsidR="008D7E05" w:rsidRPr="00CD48F9">
        <w:rPr>
          <w:lang w:val="ro-RO"/>
        </w:rPr>
        <w:t>n acest context</w:t>
      </w:r>
      <w:r w:rsidR="00E541C1" w:rsidRPr="00CD48F9">
        <w:rPr>
          <w:lang w:val="ro-RO"/>
        </w:rPr>
        <w:t xml:space="preserve">, </w:t>
      </w:r>
      <w:r w:rsidR="008D7E05" w:rsidRPr="00CD48F9">
        <w:rPr>
          <w:lang w:val="ro-RO"/>
        </w:rPr>
        <w:t xml:space="preserve">la data de 29 mai 2019 a fost semnat contractul de servicii, având ca obiect realizarea studiului privind sistemul </w:t>
      </w:r>
      <w:proofErr w:type="spellStart"/>
      <w:r w:rsidR="008D7E05" w:rsidRPr="00CD48F9">
        <w:rPr>
          <w:lang w:val="ro-RO"/>
        </w:rPr>
        <w:t>sancţiunilor</w:t>
      </w:r>
      <w:proofErr w:type="spellEnd"/>
      <w:r w:rsidR="008D7E05" w:rsidRPr="00CD48F9">
        <w:rPr>
          <w:lang w:val="ro-RO"/>
        </w:rPr>
        <w:t xml:space="preserve"> administrative (</w:t>
      </w:r>
      <w:proofErr w:type="spellStart"/>
      <w:r w:rsidR="008D7E05" w:rsidRPr="00CD48F9">
        <w:rPr>
          <w:lang w:val="ro-RO"/>
        </w:rPr>
        <w:t>sancţiunile</w:t>
      </w:r>
      <w:proofErr w:type="spellEnd"/>
      <w:r w:rsidR="008D7E05" w:rsidRPr="00CD48F9">
        <w:rPr>
          <w:lang w:val="ro-RO"/>
        </w:rPr>
        <w:t xml:space="preserve"> disciplinare </w:t>
      </w:r>
      <w:proofErr w:type="spellStart"/>
      <w:r w:rsidR="008D7E05" w:rsidRPr="00CD48F9">
        <w:rPr>
          <w:lang w:val="ro-RO"/>
        </w:rPr>
        <w:t>şi</w:t>
      </w:r>
      <w:proofErr w:type="spellEnd"/>
      <w:r w:rsidR="008D7E05" w:rsidRPr="00CD48F9">
        <w:rPr>
          <w:lang w:val="ro-RO"/>
        </w:rPr>
        <w:t xml:space="preserve"> </w:t>
      </w:r>
      <w:proofErr w:type="spellStart"/>
      <w:r w:rsidR="008D7E05" w:rsidRPr="00CD48F9">
        <w:rPr>
          <w:lang w:val="ro-RO"/>
        </w:rPr>
        <w:t>sancţiunile</w:t>
      </w:r>
      <w:proofErr w:type="spellEnd"/>
      <w:r w:rsidR="008D7E05" w:rsidRPr="00CD48F9">
        <w:rPr>
          <w:lang w:val="ro-RO"/>
        </w:rPr>
        <w:t xml:space="preserve"> aplicate de </w:t>
      </w:r>
      <w:proofErr w:type="spellStart"/>
      <w:r w:rsidR="008D7E05" w:rsidRPr="00CD48F9">
        <w:rPr>
          <w:lang w:val="ro-RO"/>
        </w:rPr>
        <w:t>autorităţile</w:t>
      </w:r>
      <w:proofErr w:type="spellEnd"/>
      <w:r w:rsidR="008D7E05" w:rsidRPr="00CD48F9">
        <w:rPr>
          <w:lang w:val="ro-RO"/>
        </w:rPr>
        <w:t xml:space="preserve"> de control) </w:t>
      </w:r>
      <w:proofErr w:type="spellStart"/>
      <w:r w:rsidR="008D7E05" w:rsidRPr="00CD48F9">
        <w:rPr>
          <w:lang w:val="ro-RO"/>
        </w:rPr>
        <w:t>şi</w:t>
      </w:r>
      <w:proofErr w:type="spellEnd"/>
      <w:r w:rsidR="008D7E05" w:rsidRPr="00CD48F9">
        <w:rPr>
          <w:lang w:val="ro-RO"/>
        </w:rPr>
        <w:t xml:space="preserve"> implementarea lui. În vederea implementării acestei activități a proiectului, MJ a asigurat distribuirea chestionarului </w:t>
      </w:r>
      <w:r w:rsidR="00CE21C2" w:rsidRPr="00CD48F9">
        <w:rPr>
          <w:lang w:val="ro-RO"/>
        </w:rPr>
        <w:lastRenderedPageBreak/>
        <w:t>privind sistemul sancțiunilor administrative elaborat de Prestator, către instituțiile publice centrale, în vederea întocmirii raportului de analiză cantitativă a datelor, iar la data de 25.11.2019 a fost recepționată forma finală a</w:t>
      </w:r>
      <w:r w:rsidR="00CE21C2" w:rsidRPr="00CD48F9">
        <w:rPr>
          <w:i/>
          <w:lang w:val="ro-RO"/>
        </w:rPr>
        <w:t xml:space="preserve"> </w:t>
      </w:r>
      <w:r w:rsidR="008D7E05" w:rsidRPr="00CD48F9">
        <w:rPr>
          <w:i/>
          <w:lang w:val="ro-RO"/>
        </w:rPr>
        <w:t>Raportului de analiză cantitativă a datelor</w:t>
      </w:r>
      <w:r w:rsidR="00CE21C2" w:rsidRPr="00CD48F9">
        <w:rPr>
          <w:i/>
          <w:lang w:val="ro-RO"/>
        </w:rPr>
        <w:t>.</w:t>
      </w:r>
      <w:r w:rsidR="00CE21C2" w:rsidRPr="00CD48F9">
        <w:rPr>
          <w:lang w:val="ro-RO"/>
        </w:rPr>
        <w:t xml:space="preserve"> De asemenea, la data de 11.12.2019 a fost recepționată forma finală a </w:t>
      </w:r>
      <w:r w:rsidR="00CE21C2" w:rsidRPr="00CD48F9">
        <w:rPr>
          <w:i/>
          <w:lang w:val="ro-RO"/>
        </w:rPr>
        <w:t xml:space="preserve">Raportului de analiză a datelor ulterior aplicării interviului. </w:t>
      </w:r>
      <w:r w:rsidR="00CE21C2" w:rsidRPr="00CD48F9">
        <w:rPr>
          <w:lang w:val="ro-RO"/>
        </w:rPr>
        <w:t xml:space="preserve">Studiul privind sistemul </w:t>
      </w:r>
      <w:proofErr w:type="spellStart"/>
      <w:r w:rsidR="00CE21C2" w:rsidRPr="00CD48F9">
        <w:rPr>
          <w:lang w:val="ro-RO"/>
        </w:rPr>
        <w:t>sancţiunilor</w:t>
      </w:r>
      <w:proofErr w:type="spellEnd"/>
      <w:r w:rsidR="00CE21C2" w:rsidRPr="00CD48F9">
        <w:rPr>
          <w:lang w:val="ro-RO"/>
        </w:rPr>
        <w:t xml:space="preserve"> administrative și implementarea lui, </w:t>
      </w:r>
      <w:r w:rsidR="00D033FE" w:rsidRPr="00CD48F9">
        <w:rPr>
          <w:lang w:val="ro-RO"/>
        </w:rPr>
        <w:t>a fost</w:t>
      </w:r>
      <w:r w:rsidR="00CE21C2" w:rsidRPr="00CD48F9">
        <w:rPr>
          <w:lang w:val="ro-RO"/>
        </w:rPr>
        <w:t xml:space="preserve"> realizat în cursul anului 2020, pe baza celor două rapoarte sus menționate.</w:t>
      </w:r>
    </w:p>
    <w:p w:rsidR="008D7E05" w:rsidRPr="00CD48F9" w:rsidRDefault="00CE21C2" w:rsidP="00972E3A">
      <w:pPr>
        <w:tabs>
          <w:tab w:val="left" w:pos="851"/>
        </w:tabs>
        <w:spacing w:after="120" w:line="276" w:lineRule="auto"/>
        <w:rPr>
          <w:lang w:val="ro-RO"/>
        </w:rPr>
      </w:pPr>
      <w:r w:rsidRPr="00CD48F9">
        <w:rPr>
          <w:lang w:val="ro-RO"/>
        </w:rPr>
        <w:t>Precizăm că MJ a formulat și transmis, Prestatorului, observații la toate variantele intermediare ale celor două rapoarte (</w:t>
      </w:r>
      <w:r w:rsidR="00A92544" w:rsidRPr="00CD48F9">
        <w:rPr>
          <w:lang w:val="ro-RO"/>
        </w:rPr>
        <w:t>11 variante în total</w:t>
      </w:r>
      <w:r w:rsidRPr="00CD48F9">
        <w:rPr>
          <w:lang w:val="ro-RO"/>
        </w:rPr>
        <w:t>)</w:t>
      </w:r>
      <w:r w:rsidR="008D7E05" w:rsidRPr="00CD48F9">
        <w:rPr>
          <w:lang w:val="ro-RO"/>
        </w:rPr>
        <w:t xml:space="preserve">. </w:t>
      </w:r>
    </w:p>
    <w:p w:rsidR="006B561B" w:rsidRPr="00CD48F9" w:rsidRDefault="00B84E73" w:rsidP="0080034B">
      <w:pPr>
        <w:pStyle w:val="ListParagraph"/>
        <w:numPr>
          <w:ilvl w:val="0"/>
          <w:numId w:val="1"/>
        </w:numPr>
        <w:tabs>
          <w:tab w:val="left" w:pos="851"/>
        </w:tabs>
        <w:spacing w:after="120" w:line="276" w:lineRule="auto"/>
        <w:ind w:left="0" w:firstLine="357"/>
        <w:rPr>
          <w:rFonts w:eastAsia="Times New Roman" w:cs="Arial"/>
          <w:bCs/>
          <w:lang w:val="ro-RO" w:eastAsia="ro-RO"/>
        </w:rPr>
      </w:pPr>
      <w:r w:rsidRPr="00CD48F9">
        <w:rPr>
          <w:lang w:val="ro-RO"/>
        </w:rPr>
        <w:t xml:space="preserve">La data de </w:t>
      </w:r>
      <w:r w:rsidR="00AB0247" w:rsidRPr="00CD48F9">
        <w:rPr>
          <w:lang w:val="ro-RO"/>
        </w:rPr>
        <w:t>5 septembrie 2018</w:t>
      </w:r>
      <w:r w:rsidRPr="00CD48F9">
        <w:rPr>
          <w:lang w:val="ro-RO"/>
        </w:rPr>
        <w:t xml:space="preserve"> a fost semnat contractul de finanțare aferent proiectului „</w:t>
      </w:r>
      <w:r w:rsidRPr="00CD48F9">
        <w:rPr>
          <w:i/>
          <w:lang w:val="ro-RO"/>
        </w:rPr>
        <w:t>Transparență, accesibilitate și educație juridică prin îmbunătățirea comunicării publice la nivelul sistemului judiciar</w:t>
      </w:r>
      <w:r w:rsidRPr="00CD48F9">
        <w:rPr>
          <w:lang w:val="ro-RO"/>
        </w:rPr>
        <w:t>” (POCA)</w:t>
      </w:r>
      <w:r w:rsidR="006B561B" w:rsidRPr="00CD48F9">
        <w:rPr>
          <w:lang w:val="ro-RO"/>
        </w:rPr>
        <w:t>, cod SIPOCA 454. Lider de proiect este Consiliul Superior al Magistraturii</w:t>
      </w:r>
      <w:r w:rsidR="006A4DCD" w:rsidRPr="00CD48F9">
        <w:rPr>
          <w:lang w:val="ro-RO"/>
        </w:rPr>
        <w:t xml:space="preserve"> (CSM)</w:t>
      </w:r>
      <w:r w:rsidR="006B561B" w:rsidRPr="00CD48F9">
        <w:rPr>
          <w:lang w:val="ro-RO"/>
        </w:rPr>
        <w:t xml:space="preserve">, parteneri fiind </w:t>
      </w:r>
      <w:r w:rsidR="006A4DCD" w:rsidRPr="00CD48F9">
        <w:rPr>
          <w:lang w:val="ro-RO"/>
        </w:rPr>
        <w:t>MJ</w:t>
      </w:r>
      <w:r w:rsidR="006B561B" w:rsidRPr="00CD48F9">
        <w:rPr>
          <w:lang w:val="ro-RO"/>
        </w:rPr>
        <w:t>, Parchetul de pe lângă Înalta Curte de Casație și Justiție</w:t>
      </w:r>
      <w:r w:rsidR="006A4DCD" w:rsidRPr="00CD48F9">
        <w:rPr>
          <w:lang w:val="ro-RO"/>
        </w:rPr>
        <w:t xml:space="preserve"> (PÎCCJ)</w:t>
      </w:r>
      <w:r w:rsidR="006B561B" w:rsidRPr="00CD48F9">
        <w:rPr>
          <w:lang w:val="ro-RO"/>
        </w:rPr>
        <w:t>, Școala Națională de Grefieri</w:t>
      </w:r>
      <w:r w:rsidR="006A4DCD" w:rsidRPr="00CD48F9">
        <w:rPr>
          <w:lang w:val="ro-RO"/>
        </w:rPr>
        <w:t xml:space="preserve"> (SNG)</w:t>
      </w:r>
      <w:r w:rsidR="006B561B" w:rsidRPr="00CD48F9">
        <w:rPr>
          <w:lang w:val="ro-RO"/>
        </w:rPr>
        <w:t>, Inspecția Judiciară</w:t>
      </w:r>
      <w:r w:rsidR="006A4DCD" w:rsidRPr="00CD48F9">
        <w:rPr>
          <w:lang w:val="ro-RO"/>
        </w:rPr>
        <w:t xml:space="preserve"> (IJ)</w:t>
      </w:r>
      <w:r w:rsidR="006B561B" w:rsidRPr="00CD48F9">
        <w:rPr>
          <w:lang w:val="ro-RO"/>
        </w:rPr>
        <w:t xml:space="preserve"> și Institutul Național al Magistraturii</w:t>
      </w:r>
      <w:r w:rsidR="006A4DCD" w:rsidRPr="00CD48F9">
        <w:rPr>
          <w:lang w:val="ro-RO"/>
        </w:rPr>
        <w:t xml:space="preserve"> (INM)</w:t>
      </w:r>
      <w:r w:rsidR="006B561B" w:rsidRPr="00CD48F9">
        <w:rPr>
          <w:lang w:val="ro-RO"/>
        </w:rPr>
        <w:t xml:space="preserve">. </w:t>
      </w:r>
    </w:p>
    <w:p w:rsidR="00CD48F9" w:rsidRPr="00CD48F9" w:rsidRDefault="006B561B" w:rsidP="00CD48F9">
      <w:pPr>
        <w:spacing w:after="120" w:line="276" w:lineRule="auto"/>
        <w:rPr>
          <w:lang w:val="ro-RO"/>
        </w:rPr>
      </w:pPr>
      <w:r w:rsidRPr="00CD48F9">
        <w:rPr>
          <w:lang w:val="ro-RO"/>
        </w:rPr>
        <w:t>Una din activitățile proiectului o reprezintă e</w:t>
      </w:r>
      <w:r w:rsidRPr="00CD48F9">
        <w:rPr>
          <w:rFonts w:cs="Arial"/>
          <w:lang w:val="ro-RO"/>
        </w:rPr>
        <w:t xml:space="preserve">fectuarea unui sondaj privind percepția publică, a justițiabililor și a profesioniștilor din domeniul juridic asupra sistemului judiciar/actului de justiție și analiza cauzelor nivelului de percepție pe cele trei paliere, precum și analiza principalelor surse de informare/canale de comunicare care generează percepția, </w:t>
      </w:r>
      <w:r w:rsidR="00A92544" w:rsidRPr="00CD48F9">
        <w:rPr>
          <w:rFonts w:cs="Arial"/>
          <w:lang w:val="ro-RO"/>
        </w:rPr>
        <w:t xml:space="preserve">activitate </w:t>
      </w:r>
      <w:r w:rsidR="004378AB" w:rsidRPr="00CD48F9">
        <w:rPr>
          <w:rFonts w:cs="Arial"/>
          <w:lang w:val="ro-RO"/>
        </w:rPr>
        <w:t xml:space="preserve">care va contribui la realizarea rezultatului proiectului </w:t>
      </w:r>
      <w:r w:rsidR="004378AB" w:rsidRPr="00CD48F9">
        <w:rPr>
          <w:lang w:val="ro-RO"/>
        </w:rPr>
        <w:t>„comunicarea publică îmbunătățită și abordată unitar la nivelul sistemului judiciar</w:t>
      </w:r>
      <w:r w:rsidR="00721D98" w:rsidRPr="00CD48F9">
        <w:rPr>
          <w:lang w:val="ro-RO"/>
        </w:rPr>
        <w:t>”</w:t>
      </w:r>
      <w:r w:rsidR="00DF4D16" w:rsidRPr="00CD48F9">
        <w:rPr>
          <w:lang w:val="ro-RO"/>
        </w:rPr>
        <w:t xml:space="preserve">. </w:t>
      </w:r>
      <w:bookmarkStart w:id="9" w:name="_Toc3376513"/>
      <w:r w:rsidR="00A92544" w:rsidRPr="00CD48F9">
        <w:rPr>
          <w:lang w:val="ro-RO"/>
        </w:rPr>
        <w:t xml:space="preserve">În luna decembrie 2019, CSM a înaintat către MJ, </w:t>
      </w:r>
      <w:r w:rsidR="00A92544" w:rsidRPr="00CD48F9">
        <w:rPr>
          <w:rFonts w:cs="Arial"/>
          <w:i/>
          <w:lang w:val="ro-RO"/>
        </w:rPr>
        <w:t>Sondajul privind percepția publică, a justițiabililor și a profesioniștilor din domeniul juridic asupra sistemului judiciar/actului de justiție și analiza cauzelor nivelului de percepție pe cele trei paliere, precum și analiza principalelor surse de informare/canale de comunicare care generează percepția</w:t>
      </w:r>
      <w:r w:rsidR="00A92544" w:rsidRPr="00CD48F9">
        <w:rPr>
          <w:rFonts w:cs="Arial"/>
          <w:lang w:val="ro-RO"/>
        </w:rPr>
        <w:t xml:space="preserve"> </w:t>
      </w:r>
      <w:r w:rsidR="00A92544" w:rsidRPr="00CD48F9">
        <w:rPr>
          <w:lang w:val="ro-RO"/>
        </w:rPr>
        <w:t>elaborat de prestator.</w:t>
      </w:r>
      <w:r w:rsidR="00A92544" w:rsidRPr="00CD48F9">
        <w:rPr>
          <w:i/>
          <w:lang w:val="ro-RO"/>
        </w:rPr>
        <w:t xml:space="preserve"> </w:t>
      </w:r>
      <w:r w:rsidR="00A92544" w:rsidRPr="00CD48F9">
        <w:rPr>
          <w:lang w:val="ro-RO"/>
        </w:rPr>
        <w:t xml:space="preserve"> </w:t>
      </w:r>
    </w:p>
    <w:p w:rsidR="0068178A" w:rsidRPr="00CD48F9" w:rsidRDefault="00CB03C6" w:rsidP="00972E3A">
      <w:pPr>
        <w:tabs>
          <w:tab w:val="left" w:pos="851"/>
        </w:tabs>
        <w:spacing w:after="120" w:line="276" w:lineRule="auto"/>
        <w:rPr>
          <w:b/>
          <w:lang w:val="ro-RO"/>
        </w:rPr>
      </w:pPr>
      <w:r w:rsidRPr="00CD48F9">
        <w:rPr>
          <w:b/>
          <w:lang w:val="ro-RO"/>
        </w:rPr>
        <w:t>3</w:t>
      </w:r>
      <w:r w:rsidR="0068178A" w:rsidRPr="00CD48F9">
        <w:rPr>
          <w:b/>
          <w:lang w:val="ro-RO"/>
        </w:rPr>
        <w:t>. Dezvoltarea unei culturi a transparenței pentru o guvernare deschisă la nivel central și local</w:t>
      </w:r>
      <w:r w:rsidR="002F1DFC" w:rsidRPr="00CD48F9">
        <w:rPr>
          <w:b/>
          <w:lang w:val="ro-RO"/>
        </w:rPr>
        <w:t xml:space="preserve"> (Obiectivul general 1)</w:t>
      </w:r>
      <w:bookmarkEnd w:id="9"/>
    </w:p>
    <w:p w:rsidR="002D3BFC" w:rsidRPr="00CD48F9" w:rsidRDefault="00CB03C6" w:rsidP="00972E3A">
      <w:pPr>
        <w:pStyle w:val="Title"/>
        <w:spacing w:before="0" w:after="120" w:line="276" w:lineRule="auto"/>
        <w:jc w:val="both"/>
        <w:rPr>
          <w:rFonts w:ascii="Trebuchet MS" w:hAnsi="Trebuchet MS"/>
          <w:sz w:val="22"/>
          <w:szCs w:val="22"/>
          <w:lang w:val="ro-RO"/>
        </w:rPr>
      </w:pPr>
      <w:bookmarkStart w:id="10" w:name="_Toc3376514"/>
      <w:r w:rsidRPr="00CD48F9">
        <w:rPr>
          <w:rFonts w:ascii="Trebuchet MS" w:hAnsi="Trebuchet MS"/>
          <w:sz w:val="22"/>
          <w:szCs w:val="22"/>
          <w:lang w:val="ro-RO"/>
        </w:rPr>
        <w:t>3</w:t>
      </w:r>
      <w:r w:rsidR="0080371C" w:rsidRPr="00CD48F9">
        <w:rPr>
          <w:rFonts w:ascii="Trebuchet MS" w:hAnsi="Trebuchet MS"/>
          <w:sz w:val="22"/>
          <w:szCs w:val="22"/>
          <w:lang w:val="ro-RO"/>
        </w:rPr>
        <w:t>.1. Creșterea transparenței instituționale și a proceselor decizionale</w:t>
      </w:r>
      <w:r w:rsidR="002F1DFC" w:rsidRPr="00CD48F9">
        <w:rPr>
          <w:rFonts w:ascii="Trebuchet MS" w:hAnsi="Trebuchet MS"/>
          <w:sz w:val="22"/>
          <w:szCs w:val="22"/>
          <w:lang w:val="ro-RO"/>
        </w:rPr>
        <w:t xml:space="preserve"> (Obiectivul specific 1.1)</w:t>
      </w:r>
      <w:bookmarkEnd w:id="10"/>
    </w:p>
    <w:p w:rsidR="006C4CCC" w:rsidRPr="00CD48F9" w:rsidRDefault="00680DCE" w:rsidP="00972E3A">
      <w:pPr>
        <w:spacing w:after="120" w:line="276" w:lineRule="auto"/>
        <w:rPr>
          <w:lang w:val="ro-RO"/>
        </w:rPr>
      </w:pPr>
      <w:r w:rsidRPr="00CD48F9">
        <w:rPr>
          <w:lang w:val="ro-RO"/>
        </w:rPr>
        <w:t xml:space="preserve">Implementarea </w:t>
      </w:r>
      <w:r w:rsidRPr="00CD48F9">
        <w:rPr>
          <w:b/>
          <w:lang w:val="ro-RO"/>
        </w:rPr>
        <w:t>m</w:t>
      </w:r>
      <w:r w:rsidR="006C4CCC" w:rsidRPr="00CD48F9">
        <w:rPr>
          <w:b/>
          <w:lang w:val="ro-RO"/>
        </w:rPr>
        <w:t>ăsurii</w:t>
      </w:r>
      <w:r w:rsidR="00453CDC" w:rsidRPr="00CD48F9">
        <w:rPr>
          <w:b/>
          <w:lang w:val="ro-RO"/>
        </w:rPr>
        <w:t xml:space="preserve"> 1.1.1.</w:t>
      </w:r>
      <w:r w:rsidR="00453CDC" w:rsidRPr="00CD48F9">
        <w:rPr>
          <w:lang w:val="ro-RO"/>
        </w:rPr>
        <w:t xml:space="preserve"> privind realizarea unei evidențe unice a persoanelor juridice cu statut de utilitate publică</w:t>
      </w:r>
      <w:r w:rsidR="006C4CCC" w:rsidRPr="00CD48F9">
        <w:rPr>
          <w:lang w:val="ro-RO"/>
        </w:rPr>
        <w:t xml:space="preserve"> </w:t>
      </w:r>
      <w:r w:rsidR="007C0E06" w:rsidRPr="00CD48F9">
        <w:rPr>
          <w:lang w:val="ro-RO"/>
        </w:rPr>
        <w:t>se</w:t>
      </w:r>
      <w:r w:rsidR="006C4CCC" w:rsidRPr="00CD48F9">
        <w:rPr>
          <w:lang w:val="ro-RO"/>
        </w:rPr>
        <w:t xml:space="preserve"> realiz</w:t>
      </w:r>
      <w:r w:rsidR="007C0E06" w:rsidRPr="00CD48F9">
        <w:rPr>
          <w:lang w:val="ro-RO"/>
        </w:rPr>
        <w:t>eaz</w:t>
      </w:r>
      <w:r w:rsidR="006C4CCC" w:rsidRPr="00CD48F9">
        <w:rPr>
          <w:lang w:val="ro-RO"/>
        </w:rPr>
        <w:t xml:space="preserve">ă prin Serviciul Comunicare </w:t>
      </w:r>
      <w:proofErr w:type="spellStart"/>
      <w:r w:rsidR="006C4CCC" w:rsidRPr="00CD48F9">
        <w:rPr>
          <w:lang w:val="ro-RO"/>
        </w:rPr>
        <w:t>şi</w:t>
      </w:r>
      <w:proofErr w:type="spellEnd"/>
      <w:r w:rsidR="006C4CCC" w:rsidRPr="00CD48F9">
        <w:rPr>
          <w:lang w:val="ro-RO"/>
        </w:rPr>
        <w:t xml:space="preserve"> </w:t>
      </w:r>
      <w:proofErr w:type="spellStart"/>
      <w:r w:rsidR="006C4CCC" w:rsidRPr="00CD48F9">
        <w:rPr>
          <w:lang w:val="ro-RO"/>
        </w:rPr>
        <w:t>Relaţii</w:t>
      </w:r>
      <w:proofErr w:type="spellEnd"/>
      <w:r w:rsidR="006C4CCC" w:rsidRPr="00CD48F9">
        <w:rPr>
          <w:lang w:val="ro-RO"/>
        </w:rPr>
        <w:t xml:space="preserve"> Publice</w:t>
      </w:r>
      <w:r w:rsidR="007C0E06" w:rsidRPr="00CD48F9">
        <w:rPr>
          <w:lang w:val="ro-RO"/>
        </w:rPr>
        <w:t>,</w:t>
      </w:r>
      <w:r w:rsidR="006C4CCC" w:rsidRPr="00CD48F9">
        <w:rPr>
          <w:lang w:val="ro-RO"/>
        </w:rPr>
        <w:t xml:space="preserve"> care </w:t>
      </w:r>
      <w:proofErr w:type="spellStart"/>
      <w:r w:rsidR="006C4CCC" w:rsidRPr="00CD48F9">
        <w:rPr>
          <w:lang w:val="ro-RO"/>
        </w:rPr>
        <w:t>ţine</w:t>
      </w:r>
      <w:proofErr w:type="spellEnd"/>
      <w:r w:rsidR="006C4CCC" w:rsidRPr="00CD48F9">
        <w:rPr>
          <w:lang w:val="ro-RO"/>
        </w:rPr>
        <w:t xml:space="preserve"> la zi </w:t>
      </w:r>
      <w:proofErr w:type="spellStart"/>
      <w:r w:rsidR="006C4CCC" w:rsidRPr="00CD48F9">
        <w:rPr>
          <w:lang w:val="ro-RO"/>
        </w:rPr>
        <w:t>evidenţa</w:t>
      </w:r>
      <w:proofErr w:type="spellEnd"/>
      <w:r w:rsidR="006C4CCC" w:rsidRPr="00CD48F9">
        <w:rPr>
          <w:lang w:val="ro-RO"/>
        </w:rPr>
        <w:t xml:space="preserve"> legislativă a </w:t>
      </w:r>
      <w:proofErr w:type="spellStart"/>
      <w:r w:rsidR="006C4CCC" w:rsidRPr="00CD48F9">
        <w:rPr>
          <w:lang w:val="ro-RO"/>
        </w:rPr>
        <w:t>asociaţiilor</w:t>
      </w:r>
      <w:proofErr w:type="spellEnd"/>
      <w:r w:rsidR="006C4CCC" w:rsidRPr="00CD48F9">
        <w:rPr>
          <w:lang w:val="ro-RO"/>
        </w:rPr>
        <w:t xml:space="preserve"> </w:t>
      </w:r>
      <w:proofErr w:type="spellStart"/>
      <w:r w:rsidR="006C4CCC" w:rsidRPr="00CD48F9">
        <w:rPr>
          <w:lang w:val="ro-RO"/>
        </w:rPr>
        <w:t>şi</w:t>
      </w:r>
      <w:proofErr w:type="spellEnd"/>
      <w:r w:rsidR="006C4CCC" w:rsidRPr="00CD48F9">
        <w:rPr>
          <w:lang w:val="ro-RO"/>
        </w:rPr>
        <w:t xml:space="preserve"> </w:t>
      </w:r>
      <w:proofErr w:type="spellStart"/>
      <w:r w:rsidR="006C4CCC" w:rsidRPr="00CD48F9">
        <w:rPr>
          <w:lang w:val="ro-RO"/>
        </w:rPr>
        <w:t>fundaţiilor</w:t>
      </w:r>
      <w:proofErr w:type="spellEnd"/>
      <w:r w:rsidR="006C4CCC" w:rsidRPr="00CD48F9">
        <w:rPr>
          <w:lang w:val="ro-RO"/>
        </w:rPr>
        <w:t xml:space="preserve"> de utilitate publică </w:t>
      </w:r>
      <w:proofErr w:type="spellStart"/>
      <w:r w:rsidR="006C4CCC" w:rsidRPr="00CD48F9">
        <w:rPr>
          <w:lang w:val="ro-RO"/>
        </w:rPr>
        <w:t>şi</w:t>
      </w:r>
      <w:proofErr w:type="spellEnd"/>
      <w:r w:rsidR="006C4CCC" w:rsidRPr="00CD48F9">
        <w:rPr>
          <w:lang w:val="ro-RO"/>
        </w:rPr>
        <w:t xml:space="preserve"> </w:t>
      </w:r>
      <w:proofErr w:type="spellStart"/>
      <w:r w:rsidR="006C4CCC" w:rsidRPr="00CD48F9">
        <w:rPr>
          <w:lang w:val="ro-RO"/>
        </w:rPr>
        <w:t>întreţine</w:t>
      </w:r>
      <w:proofErr w:type="spellEnd"/>
      <w:r w:rsidR="006C4CCC" w:rsidRPr="00CD48F9">
        <w:rPr>
          <w:lang w:val="ro-RO"/>
        </w:rPr>
        <w:t xml:space="preserve"> </w:t>
      </w:r>
      <w:proofErr w:type="spellStart"/>
      <w:r w:rsidR="006C4CCC" w:rsidRPr="00CD48F9">
        <w:rPr>
          <w:lang w:val="ro-RO"/>
        </w:rPr>
        <w:t>corespondenţă</w:t>
      </w:r>
      <w:proofErr w:type="spellEnd"/>
      <w:r w:rsidR="006C4CCC" w:rsidRPr="00CD48F9">
        <w:rPr>
          <w:lang w:val="ro-RO"/>
        </w:rPr>
        <w:t xml:space="preserve"> cu acestea în vederea </w:t>
      </w:r>
      <w:proofErr w:type="spellStart"/>
      <w:r w:rsidR="006C4CCC" w:rsidRPr="00CD48F9">
        <w:rPr>
          <w:lang w:val="ro-RO"/>
        </w:rPr>
        <w:t>obţinerii</w:t>
      </w:r>
      <w:proofErr w:type="spellEnd"/>
      <w:r w:rsidR="006C4CCC" w:rsidRPr="00CD48F9">
        <w:rPr>
          <w:lang w:val="ro-RO"/>
        </w:rPr>
        <w:t xml:space="preserve"> de </w:t>
      </w:r>
      <w:proofErr w:type="spellStart"/>
      <w:r w:rsidR="006C4CCC" w:rsidRPr="00CD48F9">
        <w:rPr>
          <w:lang w:val="ro-RO"/>
        </w:rPr>
        <w:t>informaţii</w:t>
      </w:r>
      <w:proofErr w:type="spellEnd"/>
      <w:r w:rsidR="006C4CCC" w:rsidRPr="00CD48F9">
        <w:rPr>
          <w:lang w:val="ro-RO"/>
        </w:rPr>
        <w:t xml:space="preserve"> actualizate </w:t>
      </w:r>
      <w:proofErr w:type="spellStart"/>
      <w:r w:rsidR="006C4CCC" w:rsidRPr="00CD48F9">
        <w:rPr>
          <w:lang w:val="ro-RO"/>
        </w:rPr>
        <w:t>şi</w:t>
      </w:r>
      <w:proofErr w:type="spellEnd"/>
      <w:r w:rsidR="006C4CCC" w:rsidRPr="00CD48F9">
        <w:rPr>
          <w:lang w:val="ro-RO"/>
        </w:rPr>
        <w:t xml:space="preserve"> comunicării către </w:t>
      </w:r>
      <w:proofErr w:type="spellStart"/>
      <w:r w:rsidR="006C4CCC" w:rsidRPr="00CD48F9">
        <w:rPr>
          <w:lang w:val="ro-RO"/>
        </w:rPr>
        <w:t>instanţe</w:t>
      </w:r>
      <w:proofErr w:type="spellEnd"/>
      <w:r w:rsidR="006C4CCC" w:rsidRPr="00CD48F9">
        <w:rPr>
          <w:lang w:val="ro-RO"/>
        </w:rPr>
        <w:t xml:space="preserve">. Începând cu anul 2017, rapoartele de activitate </w:t>
      </w:r>
      <w:proofErr w:type="spellStart"/>
      <w:r w:rsidR="006C4CCC" w:rsidRPr="00CD48F9">
        <w:rPr>
          <w:lang w:val="ro-RO"/>
        </w:rPr>
        <w:t>şi</w:t>
      </w:r>
      <w:proofErr w:type="spellEnd"/>
      <w:r w:rsidR="006C4CCC" w:rsidRPr="00CD48F9">
        <w:rPr>
          <w:lang w:val="ro-RO"/>
        </w:rPr>
        <w:t xml:space="preserve"> extrasele financiare anuale ale asociațiilor și fundațiilor de utilitate publică au fost publicate pe pagina de internet a MJ</w:t>
      </w:r>
      <w:r w:rsidR="006C4CCC" w:rsidRPr="00CD48F9">
        <w:rPr>
          <w:rStyle w:val="FootnoteReference"/>
          <w:lang w:val="ro-RO"/>
        </w:rPr>
        <w:footnoteReference w:id="10"/>
      </w:r>
      <w:r w:rsidR="006C4CCC" w:rsidRPr="00CD48F9">
        <w:rPr>
          <w:lang w:val="ro-RO"/>
        </w:rPr>
        <w:t xml:space="preserve">. </w:t>
      </w:r>
    </w:p>
    <w:p w:rsidR="002110B2" w:rsidRPr="00CD48F9" w:rsidRDefault="00680DCE" w:rsidP="00972E3A">
      <w:pPr>
        <w:spacing w:after="120" w:line="276" w:lineRule="auto"/>
        <w:rPr>
          <w:lang w:val="ro-RO"/>
        </w:rPr>
      </w:pPr>
      <w:r w:rsidRPr="00CD48F9">
        <w:rPr>
          <w:lang w:val="ro-RO"/>
        </w:rPr>
        <w:t xml:space="preserve">Referitor la </w:t>
      </w:r>
      <w:r w:rsidRPr="00CD48F9">
        <w:rPr>
          <w:b/>
          <w:lang w:val="ro-RO"/>
        </w:rPr>
        <w:t>măsura 1.1.2.</w:t>
      </w:r>
      <w:r w:rsidRPr="00CD48F9">
        <w:rPr>
          <w:lang w:val="ro-RO"/>
        </w:rPr>
        <w:t xml:space="preserve"> privind c</w:t>
      </w:r>
      <w:r w:rsidR="00453CDC" w:rsidRPr="00CD48F9">
        <w:rPr>
          <w:lang w:val="ro-RO"/>
        </w:rPr>
        <w:t xml:space="preserve">omunicarea de informații corecte, complete și actualizate, în termen, </w:t>
      </w:r>
      <w:r w:rsidRPr="00CD48F9">
        <w:rPr>
          <w:lang w:val="ro-RO"/>
        </w:rPr>
        <w:t>raportat</w:t>
      </w:r>
      <w:r w:rsidR="00453CDC" w:rsidRPr="00CD48F9">
        <w:rPr>
          <w:lang w:val="ro-RO"/>
        </w:rPr>
        <w:t xml:space="preserve"> la activități din aria de competență a Ministerului Justiției</w:t>
      </w:r>
      <w:r w:rsidRPr="00CD48F9">
        <w:rPr>
          <w:lang w:val="ro-RO"/>
        </w:rPr>
        <w:t>, î</w:t>
      </w:r>
      <w:r w:rsidR="006C4CCC" w:rsidRPr="00CD48F9">
        <w:rPr>
          <w:lang w:val="ro-RO"/>
        </w:rPr>
        <w:t>n cursul anului 2019</w:t>
      </w:r>
      <w:r w:rsidR="00895633" w:rsidRPr="00CD48F9">
        <w:rPr>
          <w:lang w:val="ro-RO"/>
        </w:rPr>
        <w:t xml:space="preserve">, au fost primite </w:t>
      </w:r>
      <w:proofErr w:type="spellStart"/>
      <w:r w:rsidR="00895633" w:rsidRPr="00CD48F9">
        <w:rPr>
          <w:lang w:val="ro-RO"/>
        </w:rPr>
        <w:t>şi</w:t>
      </w:r>
      <w:proofErr w:type="spellEnd"/>
      <w:r w:rsidR="00895633" w:rsidRPr="00CD48F9">
        <w:rPr>
          <w:lang w:val="ro-RO"/>
        </w:rPr>
        <w:t xml:space="preserve"> </w:t>
      </w:r>
      <w:proofErr w:type="spellStart"/>
      <w:r w:rsidR="00895633" w:rsidRPr="00CD48F9">
        <w:rPr>
          <w:lang w:val="ro-RO"/>
        </w:rPr>
        <w:t>soluţionate</w:t>
      </w:r>
      <w:proofErr w:type="spellEnd"/>
      <w:r w:rsidR="00895633" w:rsidRPr="00CD48F9">
        <w:rPr>
          <w:lang w:val="ro-RO"/>
        </w:rPr>
        <w:t xml:space="preserve"> </w:t>
      </w:r>
      <w:r w:rsidR="002110B2" w:rsidRPr="00CD48F9">
        <w:rPr>
          <w:lang w:val="ro-RO"/>
        </w:rPr>
        <w:t>4</w:t>
      </w:r>
      <w:r w:rsidR="00D06B4F" w:rsidRPr="00CD48F9">
        <w:rPr>
          <w:lang w:val="ro-RO"/>
        </w:rPr>
        <w:t>.</w:t>
      </w:r>
      <w:r w:rsidR="002110B2" w:rsidRPr="00CD48F9">
        <w:rPr>
          <w:lang w:val="ro-RO"/>
        </w:rPr>
        <w:t xml:space="preserve">540 </w:t>
      </w:r>
      <w:proofErr w:type="spellStart"/>
      <w:r w:rsidR="002110B2" w:rsidRPr="00CD48F9">
        <w:rPr>
          <w:lang w:val="ro-RO"/>
        </w:rPr>
        <w:t>petiţii</w:t>
      </w:r>
      <w:proofErr w:type="spellEnd"/>
      <w:r w:rsidR="00895633" w:rsidRPr="00CD48F9">
        <w:rPr>
          <w:lang w:val="ro-RO"/>
        </w:rPr>
        <w:t xml:space="preserve"> în sensul art. 2 din OG nr. 27/2002 privind reglementarea </w:t>
      </w:r>
      <w:proofErr w:type="spellStart"/>
      <w:r w:rsidR="00895633" w:rsidRPr="00CD48F9">
        <w:rPr>
          <w:lang w:val="ro-RO"/>
        </w:rPr>
        <w:t>activităţii</w:t>
      </w:r>
      <w:proofErr w:type="spellEnd"/>
      <w:r w:rsidR="00895633" w:rsidRPr="00CD48F9">
        <w:rPr>
          <w:lang w:val="ro-RO"/>
        </w:rPr>
        <w:t xml:space="preserve"> de </w:t>
      </w:r>
      <w:proofErr w:type="spellStart"/>
      <w:r w:rsidR="00895633" w:rsidRPr="00CD48F9">
        <w:rPr>
          <w:lang w:val="ro-RO"/>
        </w:rPr>
        <w:t>soluţionare</w:t>
      </w:r>
      <w:proofErr w:type="spellEnd"/>
      <w:r w:rsidR="00895633" w:rsidRPr="00CD48F9">
        <w:rPr>
          <w:lang w:val="ro-RO"/>
        </w:rPr>
        <w:t xml:space="preserve"> a </w:t>
      </w:r>
      <w:proofErr w:type="spellStart"/>
      <w:r w:rsidR="00895633" w:rsidRPr="00CD48F9">
        <w:rPr>
          <w:lang w:val="ro-RO"/>
        </w:rPr>
        <w:t>petiţiilor</w:t>
      </w:r>
      <w:proofErr w:type="spellEnd"/>
      <w:r w:rsidR="00895633" w:rsidRPr="00CD48F9">
        <w:rPr>
          <w:lang w:val="ro-RO"/>
        </w:rPr>
        <w:t xml:space="preserve">. </w:t>
      </w:r>
      <w:r w:rsidR="002110B2" w:rsidRPr="00CD48F9">
        <w:rPr>
          <w:lang w:val="ro-RO"/>
        </w:rPr>
        <w:t>De aseme</w:t>
      </w:r>
      <w:r w:rsidR="00413847" w:rsidRPr="00CD48F9">
        <w:rPr>
          <w:lang w:val="ro-RO"/>
        </w:rPr>
        <w:t>nea, au fost formulate 9</w:t>
      </w:r>
      <w:r w:rsidR="00D06B4F" w:rsidRPr="00CD48F9">
        <w:rPr>
          <w:lang w:val="ro-RO"/>
        </w:rPr>
        <w:t>.</w:t>
      </w:r>
      <w:r w:rsidR="00413847" w:rsidRPr="00CD48F9">
        <w:rPr>
          <w:lang w:val="ro-RO"/>
        </w:rPr>
        <w:t>183 de c</w:t>
      </w:r>
      <w:r w:rsidR="002110B2" w:rsidRPr="00CD48F9">
        <w:rPr>
          <w:lang w:val="ro-RO"/>
        </w:rPr>
        <w:t xml:space="preserve">ereri pentru acordarea disponibilității denumirii, în baza OUG </w:t>
      </w:r>
      <w:r w:rsidR="00DF271E" w:rsidRPr="00CD48F9">
        <w:rPr>
          <w:lang w:val="ro-RO"/>
        </w:rPr>
        <w:t xml:space="preserve">nr. </w:t>
      </w:r>
      <w:r w:rsidR="002110B2" w:rsidRPr="00CD48F9">
        <w:rPr>
          <w:lang w:val="ro-RO"/>
        </w:rPr>
        <w:t>26/2000 cu privire la asociații și fundații și 3</w:t>
      </w:r>
      <w:r w:rsidR="00D06B4F" w:rsidRPr="00CD48F9">
        <w:rPr>
          <w:lang w:val="ro-RO"/>
        </w:rPr>
        <w:t>.</w:t>
      </w:r>
      <w:r w:rsidR="002110B2" w:rsidRPr="00CD48F9">
        <w:rPr>
          <w:lang w:val="ro-RO"/>
        </w:rPr>
        <w:t>422 alte solicitări cu privi</w:t>
      </w:r>
      <w:r w:rsidR="00413847" w:rsidRPr="00CD48F9">
        <w:rPr>
          <w:lang w:val="ro-RO"/>
        </w:rPr>
        <w:t>re la asociații și fundații și c</w:t>
      </w:r>
      <w:r w:rsidR="002110B2" w:rsidRPr="00CD48F9">
        <w:rPr>
          <w:lang w:val="ro-RO"/>
        </w:rPr>
        <w:t>ereri de comunicare date din Registrul Național</w:t>
      </w:r>
      <w:r w:rsidR="002110B2" w:rsidRPr="00CD48F9">
        <w:rPr>
          <w:rStyle w:val="FootnoteReference"/>
          <w:lang w:val="ro-RO"/>
        </w:rPr>
        <w:footnoteReference w:id="11"/>
      </w:r>
      <w:r w:rsidR="002110B2" w:rsidRPr="00CD48F9">
        <w:rPr>
          <w:lang w:val="ro-RO"/>
        </w:rPr>
        <w:t>.</w:t>
      </w:r>
    </w:p>
    <w:p w:rsidR="00895633" w:rsidRPr="00CD48F9" w:rsidRDefault="00895633" w:rsidP="00972E3A">
      <w:pPr>
        <w:spacing w:after="120" w:line="276" w:lineRule="auto"/>
        <w:rPr>
          <w:lang w:val="ro-RO"/>
        </w:rPr>
      </w:pPr>
      <w:r w:rsidRPr="00CD48F9">
        <w:rPr>
          <w:lang w:val="ro-RO"/>
        </w:rPr>
        <w:t xml:space="preserve">Datele privind aplicarea dispozițiilor </w:t>
      </w:r>
      <w:r w:rsidR="006E272F" w:rsidRPr="00CD48F9">
        <w:rPr>
          <w:lang w:val="ro-RO"/>
        </w:rPr>
        <w:t>Legi</w:t>
      </w:r>
      <w:r w:rsidRPr="00CD48F9">
        <w:rPr>
          <w:lang w:val="ro-RO"/>
        </w:rPr>
        <w:t xml:space="preserve"> nr. 544/2001 privind liberul acces la </w:t>
      </w:r>
      <w:proofErr w:type="spellStart"/>
      <w:r w:rsidRPr="00CD48F9">
        <w:rPr>
          <w:lang w:val="ro-RO"/>
        </w:rPr>
        <w:t>informaţiile</w:t>
      </w:r>
      <w:proofErr w:type="spellEnd"/>
      <w:r w:rsidRPr="00CD48F9">
        <w:rPr>
          <w:lang w:val="ro-RO"/>
        </w:rPr>
        <w:t xml:space="preserve"> de interes public</w:t>
      </w:r>
      <w:r w:rsidR="00D06B4F" w:rsidRPr="00CD48F9">
        <w:rPr>
          <w:lang w:val="ro-RO"/>
        </w:rPr>
        <w:t>,</w:t>
      </w:r>
      <w:r w:rsidRPr="00CD48F9">
        <w:rPr>
          <w:lang w:val="ro-RO"/>
        </w:rPr>
        <w:t xml:space="preserve"> precum și ale Legii nr. 52/2003 privind transparența decizională se </w:t>
      </w:r>
      <w:r w:rsidRPr="00CD48F9">
        <w:rPr>
          <w:lang w:val="ro-RO"/>
        </w:rPr>
        <w:lastRenderedPageBreak/>
        <w:t>regăsesc în rapoartele elaborate anual și publicate pe pagina de internet a MJ</w:t>
      </w:r>
      <w:r w:rsidR="006E272F" w:rsidRPr="00CD48F9">
        <w:rPr>
          <w:lang w:val="ro-RO"/>
        </w:rPr>
        <w:t>,</w:t>
      </w:r>
      <w:r w:rsidRPr="00CD48F9">
        <w:rPr>
          <w:lang w:val="ro-RO"/>
        </w:rPr>
        <w:t xml:space="preserve"> la secțiunea</w:t>
      </w:r>
      <w:r w:rsidR="006E272F" w:rsidRPr="00CD48F9">
        <w:rPr>
          <w:lang w:val="ro-RO"/>
        </w:rPr>
        <w:t xml:space="preserve"> informații de interes public/solicitare informații legislație</w:t>
      </w:r>
      <w:r w:rsidR="006E272F" w:rsidRPr="00CD48F9">
        <w:rPr>
          <w:rStyle w:val="FootnoteReference"/>
          <w:lang w:val="ro-RO"/>
        </w:rPr>
        <w:t xml:space="preserve"> </w:t>
      </w:r>
      <w:r w:rsidRPr="00CD48F9">
        <w:rPr>
          <w:rStyle w:val="FootnoteReference"/>
          <w:lang w:val="ro-RO"/>
        </w:rPr>
        <w:footnoteReference w:id="12"/>
      </w:r>
      <w:r w:rsidRPr="00CD48F9">
        <w:rPr>
          <w:lang w:val="ro-RO"/>
        </w:rPr>
        <w:t>.</w:t>
      </w:r>
    </w:p>
    <w:p w:rsidR="00F7223D" w:rsidRPr="00CD48F9" w:rsidRDefault="00F7223D" w:rsidP="00972E3A">
      <w:pPr>
        <w:spacing w:after="120" w:line="276" w:lineRule="auto"/>
        <w:rPr>
          <w:lang w:val="ro-RO"/>
        </w:rPr>
      </w:pPr>
      <w:r w:rsidRPr="00CD48F9">
        <w:rPr>
          <w:lang w:val="ro-RO"/>
        </w:rPr>
        <w:t>De asemenea, datele sunt anexă la prezentul raport de progres, publicat pe portalul SNA la secțiunea monitorizare SNA/rapoarte de monitorizare</w:t>
      </w:r>
      <w:r w:rsidRPr="00CD48F9">
        <w:rPr>
          <w:rStyle w:val="FootnoteReference"/>
          <w:lang w:val="ro-RO"/>
        </w:rPr>
        <w:footnoteReference w:id="13"/>
      </w:r>
      <w:r w:rsidRPr="00CD48F9">
        <w:rPr>
          <w:lang w:val="ro-RO"/>
        </w:rPr>
        <w:t>.</w:t>
      </w:r>
    </w:p>
    <w:p w:rsidR="00C22627" w:rsidRPr="00CD48F9" w:rsidRDefault="006E272F" w:rsidP="00972E3A">
      <w:pPr>
        <w:spacing w:after="120" w:line="276" w:lineRule="auto"/>
        <w:rPr>
          <w:lang w:val="ro-RO"/>
        </w:rPr>
      </w:pPr>
      <w:r w:rsidRPr="00CD48F9">
        <w:rPr>
          <w:lang w:val="ro-RO"/>
        </w:rPr>
        <w:t>L</w:t>
      </w:r>
      <w:r w:rsidR="00781D2F" w:rsidRPr="00CD48F9">
        <w:rPr>
          <w:lang w:val="ro-RO"/>
        </w:rPr>
        <w:t>a nivelul Comisiei de analiză privind încălcarea dreptului de acces la informațiile de interes public</w:t>
      </w:r>
      <w:r w:rsidR="00345A2D" w:rsidRPr="00CD48F9">
        <w:rPr>
          <w:lang w:val="ro-RO"/>
        </w:rPr>
        <w:t>, în anul 2019 au fost înregistrate 10</w:t>
      </w:r>
      <w:r w:rsidR="00781D2F" w:rsidRPr="00CD48F9">
        <w:rPr>
          <w:lang w:val="ro-RO"/>
        </w:rPr>
        <w:t xml:space="preserve"> reclamații administrative, toate fiind soluționate în temeiul </w:t>
      </w:r>
      <w:r w:rsidR="00D06B4F" w:rsidRPr="00CD48F9">
        <w:rPr>
          <w:lang w:val="ro-RO"/>
        </w:rPr>
        <w:t>prevederilor</w:t>
      </w:r>
      <w:r w:rsidR="00781D2F" w:rsidRPr="00CD48F9">
        <w:rPr>
          <w:lang w:val="ro-RO"/>
        </w:rPr>
        <w:t xml:space="preserve"> Legii </w:t>
      </w:r>
      <w:r w:rsidR="00666CF0" w:rsidRPr="00CD48F9">
        <w:rPr>
          <w:lang w:val="ro-RO"/>
        </w:rPr>
        <w:t xml:space="preserve">nr. </w:t>
      </w:r>
      <w:r w:rsidR="00781D2F" w:rsidRPr="00CD48F9">
        <w:rPr>
          <w:lang w:val="ro-RO"/>
        </w:rPr>
        <w:t>544/2001</w:t>
      </w:r>
      <w:r w:rsidR="00AD4CE8" w:rsidRPr="00CD48F9">
        <w:rPr>
          <w:rStyle w:val="FootnoteReference"/>
          <w:lang w:val="ro-RO"/>
        </w:rPr>
        <w:footnoteReference w:id="14"/>
      </w:r>
      <w:r w:rsidR="00345A2D" w:rsidRPr="00CD48F9">
        <w:rPr>
          <w:lang w:val="ro-RO"/>
        </w:rPr>
        <w:t>. Dintre acestea, 9</w:t>
      </w:r>
      <w:r w:rsidR="00781D2F" w:rsidRPr="00CD48F9">
        <w:rPr>
          <w:lang w:val="ro-RO"/>
        </w:rPr>
        <w:t xml:space="preserve"> reclamații au fost respinse</w:t>
      </w:r>
      <w:r w:rsidR="00F82E63" w:rsidRPr="00CD48F9">
        <w:rPr>
          <w:lang w:val="ro-RO"/>
        </w:rPr>
        <w:t>,</w:t>
      </w:r>
      <w:r w:rsidR="00781D2F" w:rsidRPr="00CD48F9">
        <w:rPr>
          <w:lang w:val="ro-RO"/>
        </w:rPr>
        <w:t xml:space="preserve"> iar una a fost admisă, fără a fi identificate însă elemente în vederea sesizării comisiei de disciplină. </w:t>
      </w:r>
      <w:r w:rsidR="00345A2D" w:rsidRPr="00CD48F9">
        <w:rPr>
          <w:lang w:val="ro-RO"/>
        </w:rPr>
        <w:t>De asemenea, în anul 2019</w:t>
      </w:r>
      <w:r w:rsidR="00AD4CE8" w:rsidRPr="00CD48F9">
        <w:rPr>
          <w:lang w:val="ro-RO"/>
        </w:rPr>
        <w:t xml:space="preserve"> au fost înregistrate pe</w:t>
      </w:r>
      <w:r w:rsidR="00345A2D" w:rsidRPr="00CD48F9">
        <w:rPr>
          <w:lang w:val="ro-RO"/>
        </w:rPr>
        <w:t xml:space="preserve"> rolul </w:t>
      </w:r>
      <w:proofErr w:type="spellStart"/>
      <w:r w:rsidR="00345A2D" w:rsidRPr="00CD48F9">
        <w:rPr>
          <w:lang w:val="ro-RO"/>
        </w:rPr>
        <w:t>instanţelor</w:t>
      </w:r>
      <w:proofErr w:type="spellEnd"/>
      <w:r w:rsidR="00345A2D" w:rsidRPr="00CD48F9">
        <w:rPr>
          <w:lang w:val="ro-RO"/>
        </w:rPr>
        <w:t xml:space="preserve"> de judecată 10</w:t>
      </w:r>
      <w:r w:rsidR="00AD4CE8" w:rsidRPr="00CD48F9">
        <w:rPr>
          <w:lang w:val="ro-RO"/>
        </w:rPr>
        <w:t xml:space="preserve"> de cereri de chemare în judecată, întemeiate pe </w:t>
      </w:r>
      <w:proofErr w:type="spellStart"/>
      <w:r w:rsidR="00AD4CE8" w:rsidRPr="00CD48F9">
        <w:rPr>
          <w:lang w:val="ro-RO"/>
        </w:rPr>
        <w:t>dispoziţiile</w:t>
      </w:r>
      <w:proofErr w:type="spellEnd"/>
      <w:r w:rsidR="00AD4CE8" w:rsidRPr="00CD48F9">
        <w:rPr>
          <w:lang w:val="ro-RO"/>
        </w:rPr>
        <w:t xml:space="preserve"> Legii nr. 544/2001, formulate în contradictoriu cu </w:t>
      </w:r>
      <w:r w:rsidR="00917EAF" w:rsidRPr="00CD48F9">
        <w:rPr>
          <w:lang w:val="ro-RO"/>
        </w:rPr>
        <w:t>Ministerul Justiției</w:t>
      </w:r>
      <w:r w:rsidR="00666CF0" w:rsidRPr="00CD48F9">
        <w:rPr>
          <w:lang w:val="ro-RO"/>
        </w:rPr>
        <w:t>/ministrul j</w:t>
      </w:r>
      <w:r w:rsidR="00AD4CE8" w:rsidRPr="00CD48F9">
        <w:rPr>
          <w:lang w:val="ro-RO"/>
        </w:rPr>
        <w:t xml:space="preserve">ustiției. Dintre acestea, </w:t>
      </w:r>
      <w:r w:rsidR="00345A2D" w:rsidRPr="00CD48F9">
        <w:rPr>
          <w:lang w:val="ro-RO"/>
        </w:rPr>
        <w:t>două</w:t>
      </w:r>
      <w:r w:rsidR="00AD4CE8" w:rsidRPr="00CD48F9">
        <w:rPr>
          <w:lang w:val="ro-RO"/>
        </w:rPr>
        <w:t xml:space="preserve"> cereri a</w:t>
      </w:r>
      <w:r w:rsidR="00345A2D" w:rsidRPr="00CD48F9">
        <w:rPr>
          <w:lang w:val="ro-RO"/>
        </w:rPr>
        <w:t>u fost soluționate</w:t>
      </w:r>
      <w:r w:rsidR="00AD4CE8" w:rsidRPr="00CD48F9">
        <w:rPr>
          <w:lang w:val="ro-RO"/>
        </w:rPr>
        <w:t xml:space="preserve"> definitiv, în sensul </w:t>
      </w:r>
      <w:r w:rsidR="00345A2D" w:rsidRPr="00CD48F9">
        <w:rPr>
          <w:lang w:val="ro-RO"/>
        </w:rPr>
        <w:t>respingerii pretențiilor, una a fost soluționată definitiv în sensul admiterii</w:t>
      </w:r>
      <w:r w:rsidR="00C22627" w:rsidRPr="00CD48F9">
        <w:rPr>
          <w:lang w:val="ro-RO"/>
        </w:rPr>
        <w:t xml:space="preserve"> pretențiilor reclamantului, în alt dosar s-a formulat cerere de renunțare la judecată, celelalte </w:t>
      </w:r>
      <w:r w:rsidR="00D06B4F" w:rsidRPr="00CD48F9">
        <w:rPr>
          <w:lang w:val="ro-RO"/>
        </w:rPr>
        <w:t>6</w:t>
      </w:r>
      <w:r w:rsidR="00C22627" w:rsidRPr="00CD48F9">
        <w:rPr>
          <w:lang w:val="ro-RO"/>
        </w:rPr>
        <w:t xml:space="preserve"> dosare fiind în curs de soluționare la instanța de fond, sau în cale de atac.</w:t>
      </w:r>
      <w:r w:rsidR="00345A2D" w:rsidRPr="00CD48F9">
        <w:rPr>
          <w:lang w:val="ro-RO"/>
        </w:rPr>
        <w:t xml:space="preserve"> </w:t>
      </w:r>
      <w:r w:rsidR="00C22627" w:rsidRPr="00CD48F9">
        <w:rPr>
          <w:lang w:val="ro-RO"/>
        </w:rPr>
        <w:t xml:space="preserve">De asemenea, în anul 2019 au fost pronunțate hotărâri judecătorești definitive </w:t>
      </w:r>
      <w:r w:rsidR="006B2FD0" w:rsidRPr="00CD48F9">
        <w:rPr>
          <w:lang w:val="ro-RO"/>
        </w:rPr>
        <w:t>în</w:t>
      </w:r>
      <w:r w:rsidR="00C22627" w:rsidRPr="00CD48F9">
        <w:rPr>
          <w:lang w:val="ro-RO"/>
        </w:rPr>
        <w:t xml:space="preserve"> dosare înregistrate în anul 2018, </w:t>
      </w:r>
      <w:r w:rsidR="006B2FD0" w:rsidRPr="00CD48F9">
        <w:rPr>
          <w:lang w:val="ro-RO"/>
        </w:rPr>
        <w:t>6</w:t>
      </w:r>
      <w:r w:rsidR="00C22627" w:rsidRPr="00CD48F9">
        <w:rPr>
          <w:lang w:val="ro-RO"/>
        </w:rPr>
        <w:t xml:space="preserve"> în sensul respingerii pretențiilor afirmate de reclamanți și </w:t>
      </w:r>
      <w:r w:rsidR="006B2FD0" w:rsidRPr="00CD48F9">
        <w:rPr>
          <w:lang w:val="ro-RO"/>
        </w:rPr>
        <w:t>una</w:t>
      </w:r>
      <w:r w:rsidR="00C22627" w:rsidRPr="00CD48F9">
        <w:rPr>
          <w:lang w:val="ro-RO"/>
        </w:rPr>
        <w:t xml:space="preserve"> prin care s-a luat act de renunțarea la judecată.  </w:t>
      </w:r>
    </w:p>
    <w:p w:rsidR="00443BA8" w:rsidRPr="00CD48F9" w:rsidRDefault="00443BA8" w:rsidP="00972E3A">
      <w:pPr>
        <w:spacing w:after="120" w:line="276" w:lineRule="auto"/>
        <w:rPr>
          <w:lang w:val="ro-RO"/>
        </w:rPr>
      </w:pPr>
      <w:r w:rsidRPr="00CD48F9">
        <w:rPr>
          <w:b/>
          <w:lang w:val="ro-RO"/>
        </w:rPr>
        <w:t>Măsura 1.1.3.</w:t>
      </w:r>
      <w:r w:rsidRPr="00CD48F9">
        <w:rPr>
          <w:lang w:val="ro-RO"/>
        </w:rPr>
        <w:t xml:space="preserve"> privind centralizarea și actualizarea periodică a stadiului implementării inventarului măsurilor de transparență instituțională și de prevenire a corupției este implementată anual, prin publicarea pe portalul sna.just.ro a datelor cuprinse în Anexa 3 la SNA 2016-2020.  </w:t>
      </w:r>
    </w:p>
    <w:p w:rsidR="00453CDC" w:rsidRPr="00CD48F9" w:rsidRDefault="00CF3927" w:rsidP="00972E3A">
      <w:pPr>
        <w:spacing w:after="120" w:line="276" w:lineRule="auto"/>
        <w:rPr>
          <w:lang w:val="ro-RO"/>
        </w:rPr>
      </w:pPr>
      <w:r w:rsidRPr="00CD48F9">
        <w:rPr>
          <w:b/>
          <w:lang w:val="ro-RO"/>
        </w:rPr>
        <w:t xml:space="preserve">3.2. </w:t>
      </w:r>
      <w:r w:rsidR="00453CDC" w:rsidRPr="00CD48F9">
        <w:rPr>
          <w:b/>
          <w:lang w:val="ro-RO"/>
        </w:rPr>
        <w:t>Creșterea transparenței proceselor de administrare a resurselor publice (Obiectiv specific 1.2)</w:t>
      </w:r>
    </w:p>
    <w:p w:rsidR="00FC6722" w:rsidRPr="00CD48F9" w:rsidRDefault="00680DCE" w:rsidP="00972E3A">
      <w:pPr>
        <w:spacing w:after="120" w:line="276" w:lineRule="auto"/>
        <w:rPr>
          <w:u w:val="single"/>
          <w:lang w:val="ro-RO"/>
        </w:rPr>
      </w:pPr>
      <w:r w:rsidRPr="00CD48F9">
        <w:rPr>
          <w:lang w:val="ro-RO"/>
        </w:rPr>
        <w:t xml:space="preserve">Referitor la </w:t>
      </w:r>
      <w:r w:rsidRPr="00CD48F9">
        <w:rPr>
          <w:b/>
          <w:lang w:val="ro-RO"/>
        </w:rPr>
        <w:t>m</w:t>
      </w:r>
      <w:r w:rsidR="00261B5E" w:rsidRPr="00CD48F9">
        <w:rPr>
          <w:b/>
          <w:lang w:val="ro-RO"/>
        </w:rPr>
        <w:t>ăsura 1.2.1</w:t>
      </w:r>
      <w:r w:rsidRPr="00CD48F9">
        <w:rPr>
          <w:lang w:val="ro-RO"/>
        </w:rPr>
        <w:t xml:space="preserve"> privind</w:t>
      </w:r>
      <w:r w:rsidR="00261B5E" w:rsidRPr="00CD48F9">
        <w:rPr>
          <w:lang w:val="ro-RO"/>
        </w:rPr>
        <w:t xml:space="preserve"> </w:t>
      </w:r>
      <w:r w:rsidRPr="00CD48F9">
        <w:rPr>
          <w:lang w:val="ro-RO"/>
        </w:rPr>
        <w:t>p</w:t>
      </w:r>
      <w:r w:rsidR="00FC6722" w:rsidRPr="00CD48F9">
        <w:rPr>
          <w:lang w:val="ro-RO"/>
        </w:rPr>
        <w:t>ublicarea</w:t>
      </w:r>
      <w:r w:rsidR="00721DD7" w:rsidRPr="00CD48F9">
        <w:rPr>
          <w:lang w:val="ro-RO"/>
        </w:rPr>
        <w:t xml:space="preserve"> anuală a </w:t>
      </w:r>
      <w:proofErr w:type="spellStart"/>
      <w:r w:rsidR="00721DD7" w:rsidRPr="00CD48F9">
        <w:rPr>
          <w:lang w:val="ro-RO"/>
        </w:rPr>
        <w:t>informaţiilor</w:t>
      </w:r>
      <w:proofErr w:type="spellEnd"/>
      <w:r w:rsidR="00721DD7" w:rsidRPr="00CD48F9">
        <w:rPr>
          <w:lang w:val="ro-RO"/>
        </w:rPr>
        <w:t xml:space="preserve"> privind</w:t>
      </w:r>
      <w:r w:rsidR="00FC6722" w:rsidRPr="00CD48F9">
        <w:rPr>
          <w:lang w:val="ro-RO"/>
        </w:rPr>
        <w:t xml:space="preserve"> reutilizarea publică și socială a bunurilor confiscate în cadru</w:t>
      </w:r>
      <w:r w:rsidRPr="00CD48F9">
        <w:rPr>
          <w:lang w:val="ro-RO"/>
        </w:rPr>
        <w:t>l procedurilor judiciare penale, î</w:t>
      </w:r>
      <w:r w:rsidR="00F7223D" w:rsidRPr="00CD48F9">
        <w:rPr>
          <w:lang w:val="ro-RO"/>
        </w:rPr>
        <w:t>n cursul anului 2019</w:t>
      </w:r>
      <w:r w:rsidR="00FC6722" w:rsidRPr="00CD48F9">
        <w:rPr>
          <w:lang w:val="ro-RO"/>
        </w:rPr>
        <w:t xml:space="preserve"> nu au existat bunuri reutilizate social sau public, bunuri imobile transmise cu titlu gratuit în domeniul privat al </w:t>
      </w:r>
      <w:proofErr w:type="spellStart"/>
      <w:r w:rsidR="00FC6722" w:rsidRPr="00CD48F9">
        <w:rPr>
          <w:lang w:val="ro-RO"/>
        </w:rPr>
        <w:t>unităţilor</w:t>
      </w:r>
      <w:proofErr w:type="spellEnd"/>
      <w:r w:rsidR="00FC6722" w:rsidRPr="00CD48F9">
        <w:rPr>
          <w:lang w:val="ro-RO"/>
        </w:rPr>
        <w:t xml:space="preserve"> administrativ-teritoriale, bunuri imobile date în </w:t>
      </w:r>
      <w:proofErr w:type="spellStart"/>
      <w:r w:rsidR="00FC6722" w:rsidRPr="00CD48F9">
        <w:rPr>
          <w:lang w:val="ro-RO"/>
        </w:rPr>
        <w:t>folosinţă</w:t>
      </w:r>
      <w:proofErr w:type="spellEnd"/>
      <w:r w:rsidR="00FC6722" w:rsidRPr="00CD48F9">
        <w:rPr>
          <w:lang w:val="ro-RO"/>
        </w:rPr>
        <w:t xml:space="preserve"> gratuită </w:t>
      </w:r>
      <w:proofErr w:type="spellStart"/>
      <w:r w:rsidR="00FC6722" w:rsidRPr="00CD48F9">
        <w:rPr>
          <w:lang w:val="ro-RO"/>
        </w:rPr>
        <w:t>asociaţiilor</w:t>
      </w:r>
      <w:proofErr w:type="spellEnd"/>
      <w:r w:rsidR="00FC6722" w:rsidRPr="00CD48F9">
        <w:rPr>
          <w:lang w:val="ro-RO"/>
        </w:rPr>
        <w:t xml:space="preserve"> </w:t>
      </w:r>
      <w:proofErr w:type="spellStart"/>
      <w:r w:rsidR="00FC6722" w:rsidRPr="00CD48F9">
        <w:rPr>
          <w:lang w:val="ro-RO"/>
        </w:rPr>
        <w:t>şi</w:t>
      </w:r>
      <w:proofErr w:type="spellEnd"/>
      <w:r w:rsidR="00FC6722" w:rsidRPr="00CD48F9">
        <w:rPr>
          <w:lang w:val="ro-RO"/>
        </w:rPr>
        <w:t xml:space="preserve"> </w:t>
      </w:r>
      <w:proofErr w:type="spellStart"/>
      <w:r w:rsidR="00FC6722" w:rsidRPr="00CD48F9">
        <w:rPr>
          <w:lang w:val="ro-RO"/>
        </w:rPr>
        <w:t>fu</w:t>
      </w:r>
      <w:r w:rsidR="00D06B4F" w:rsidRPr="00CD48F9">
        <w:rPr>
          <w:lang w:val="ro-RO"/>
        </w:rPr>
        <w:t>ndaţiilor</w:t>
      </w:r>
      <w:proofErr w:type="spellEnd"/>
      <w:r w:rsidR="00D06B4F" w:rsidRPr="00CD48F9">
        <w:rPr>
          <w:lang w:val="ro-RO"/>
        </w:rPr>
        <w:t xml:space="preserve">, precum </w:t>
      </w:r>
      <w:proofErr w:type="spellStart"/>
      <w:r w:rsidR="00D06B4F" w:rsidRPr="00CD48F9">
        <w:rPr>
          <w:lang w:val="ro-RO"/>
        </w:rPr>
        <w:t>şi</w:t>
      </w:r>
      <w:proofErr w:type="spellEnd"/>
      <w:r w:rsidR="00D06B4F" w:rsidRPr="00CD48F9">
        <w:rPr>
          <w:lang w:val="ro-RO"/>
        </w:rPr>
        <w:t xml:space="preserve"> Academiei R</w:t>
      </w:r>
      <w:r w:rsidR="00FC6722" w:rsidRPr="00CD48F9">
        <w:rPr>
          <w:lang w:val="ro-RO"/>
        </w:rPr>
        <w:t xml:space="preserve">omâne </w:t>
      </w:r>
      <w:proofErr w:type="spellStart"/>
      <w:r w:rsidR="00FC6722" w:rsidRPr="00CD48F9">
        <w:rPr>
          <w:lang w:val="ro-RO"/>
        </w:rPr>
        <w:t>şi</w:t>
      </w:r>
      <w:proofErr w:type="spellEnd"/>
      <w:r w:rsidR="00FC6722" w:rsidRPr="00CD48F9">
        <w:rPr>
          <w:lang w:val="ro-RO"/>
        </w:rPr>
        <w:t xml:space="preserve"> academiilor de ramură sau bunuri imobile intrate, prin confiscare, în cadrul procesului penal, în proprietatea privată a statului și transmise cu titlu gratuit în domeniul public al statului </w:t>
      </w:r>
      <w:proofErr w:type="spellStart"/>
      <w:r w:rsidR="00FC6722" w:rsidRPr="00CD48F9">
        <w:rPr>
          <w:lang w:val="ro-RO"/>
        </w:rPr>
        <w:t>şi</w:t>
      </w:r>
      <w:proofErr w:type="spellEnd"/>
      <w:r w:rsidR="00FC6722" w:rsidRPr="00CD48F9">
        <w:rPr>
          <w:lang w:val="ro-RO"/>
        </w:rPr>
        <w:t xml:space="preserve"> în administrarea </w:t>
      </w:r>
      <w:proofErr w:type="spellStart"/>
      <w:r w:rsidR="00FC6722" w:rsidRPr="00CD48F9">
        <w:rPr>
          <w:lang w:val="ro-RO"/>
        </w:rPr>
        <w:t>autorităţilor</w:t>
      </w:r>
      <w:proofErr w:type="spellEnd"/>
      <w:r w:rsidR="00FC6722" w:rsidRPr="00CD48F9">
        <w:rPr>
          <w:lang w:val="ro-RO"/>
        </w:rPr>
        <w:t xml:space="preserve"> </w:t>
      </w:r>
      <w:proofErr w:type="spellStart"/>
      <w:r w:rsidR="00FC6722" w:rsidRPr="00CD48F9">
        <w:rPr>
          <w:lang w:val="ro-RO"/>
        </w:rPr>
        <w:t>administraţiei</w:t>
      </w:r>
      <w:proofErr w:type="spellEnd"/>
      <w:r w:rsidR="00FC6722" w:rsidRPr="00CD48F9">
        <w:rPr>
          <w:lang w:val="ro-RO"/>
        </w:rPr>
        <w:t xml:space="preserve"> publice centrale, altor </w:t>
      </w:r>
      <w:proofErr w:type="spellStart"/>
      <w:r w:rsidR="00FC6722" w:rsidRPr="00CD48F9">
        <w:rPr>
          <w:lang w:val="ro-RO"/>
        </w:rPr>
        <w:t>instituţii</w:t>
      </w:r>
      <w:proofErr w:type="spellEnd"/>
      <w:r w:rsidR="00FC6722" w:rsidRPr="00CD48F9">
        <w:rPr>
          <w:lang w:val="ro-RO"/>
        </w:rPr>
        <w:t xml:space="preserve"> publice de interes </w:t>
      </w:r>
      <w:proofErr w:type="spellStart"/>
      <w:r w:rsidR="00FC6722" w:rsidRPr="00CD48F9">
        <w:rPr>
          <w:lang w:val="ro-RO"/>
        </w:rPr>
        <w:t>naţional</w:t>
      </w:r>
      <w:proofErr w:type="spellEnd"/>
      <w:r w:rsidR="00FC6722" w:rsidRPr="00CD48F9">
        <w:rPr>
          <w:lang w:val="ro-RO"/>
        </w:rPr>
        <w:t xml:space="preserve">, după caz, sau regiilor autonome de interes </w:t>
      </w:r>
      <w:proofErr w:type="spellStart"/>
      <w:r w:rsidR="00FC6722" w:rsidRPr="00CD48F9">
        <w:rPr>
          <w:lang w:val="ro-RO"/>
        </w:rPr>
        <w:t>naţional</w:t>
      </w:r>
      <w:proofErr w:type="spellEnd"/>
      <w:r w:rsidR="00FC6722" w:rsidRPr="00CD48F9">
        <w:rPr>
          <w:lang w:val="ro-RO"/>
        </w:rPr>
        <w:t>.</w:t>
      </w:r>
      <w:r w:rsidR="00D83BA5" w:rsidRPr="00CD48F9">
        <w:rPr>
          <w:lang w:val="ro-RO"/>
        </w:rPr>
        <w:t xml:space="preserve"> </w:t>
      </w:r>
      <w:r w:rsidR="00A769DE" w:rsidRPr="00CD48F9">
        <w:rPr>
          <w:lang w:val="ro-RO"/>
        </w:rPr>
        <w:t>P</w:t>
      </w:r>
      <w:r w:rsidR="00FC6722" w:rsidRPr="00CD48F9">
        <w:rPr>
          <w:lang w:val="ro-RO"/>
        </w:rPr>
        <w:t xml:space="preserve">ropunerea de reutilizare publică a unui imobil, formulată de Agenția Națională de Administrare a Bunurilor Indisponibilizate (ANABI) în anul 2017, este încă în curs de soluționare la nivelul MFP, instituție care urmează să promoveze actul normativ privind trecerea acestuia în administrarea ANAF. </w:t>
      </w:r>
    </w:p>
    <w:p w:rsidR="00FC6722" w:rsidRPr="00CD48F9" w:rsidRDefault="00FC6722" w:rsidP="00972E3A">
      <w:pPr>
        <w:spacing w:after="120" w:line="276" w:lineRule="auto"/>
        <w:rPr>
          <w:lang w:val="ro-RO"/>
        </w:rPr>
      </w:pPr>
      <w:r w:rsidRPr="00CD48F9">
        <w:rPr>
          <w:lang w:val="ro-RO"/>
        </w:rPr>
        <w:t>În vederea asigurării transparenței procesului de reutilizare a bunurilor imobile, ANABI publică</w:t>
      </w:r>
      <w:r w:rsidR="0030749E" w:rsidRPr="00CD48F9">
        <w:rPr>
          <w:lang w:val="ro-RO"/>
        </w:rPr>
        <w:t xml:space="preserve"> pe pagina de internet a instituției,</w:t>
      </w:r>
      <w:r w:rsidRPr="00CD48F9">
        <w:rPr>
          <w:lang w:val="ro-RO"/>
        </w:rPr>
        <w:t xml:space="preserve"> la secțiuni distincte</w:t>
      </w:r>
      <w:r w:rsidR="0030749E" w:rsidRPr="00CD48F9">
        <w:rPr>
          <w:lang w:val="ro-RO"/>
        </w:rPr>
        <w:t>,</w:t>
      </w:r>
      <w:r w:rsidRPr="00CD48F9">
        <w:rPr>
          <w:lang w:val="ro-RO"/>
        </w:rPr>
        <w:t xml:space="preserve"> toate imobilele care îndeplinesc condițiile legale pentru a face obiectul unei cereri de reutilizare în interes public sau </w:t>
      </w:r>
      <w:r w:rsidR="00F7223D" w:rsidRPr="00CD48F9">
        <w:rPr>
          <w:lang w:val="ro-RO"/>
        </w:rPr>
        <w:t>social. Pe parcursul anului 2019 au fost publicate 12</w:t>
      </w:r>
      <w:r w:rsidR="0030749E" w:rsidRPr="00CD48F9">
        <w:rPr>
          <w:lang w:val="ro-RO"/>
        </w:rPr>
        <w:t xml:space="preserve"> anunțuri</w:t>
      </w:r>
      <w:r w:rsidRPr="00CD48F9">
        <w:rPr>
          <w:lang w:val="ro-RO"/>
        </w:rPr>
        <w:t xml:space="preserve"> </w:t>
      </w:r>
      <w:r w:rsidR="0030749E" w:rsidRPr="00CD48F9">
        <w:rPr>
          <w:lang w:val="ro-RO"/>
        </w:rPr>
        <w:t>și</w:t>
      </w:r>
      <w:r w:rsidR="00F7223D" w:rsidRPr="00CD48F9">
        <w:rPr>
          <w:lang w:val="ro-RO"/>
        </w:rPr>
        <w:t xml:space="preserve"> a fost formulată </w:t>
      </w:r>
      <w:r w:rsidRPr="00CD48F9">
        <w:rPr>
          <w:lang w:val="ro-RO"/>
        </w:rPr>
        <w:t>o propunere de reutilizare în condițiile prevăzute de art. 34</w:t>
      </w:r>
      <w:r w:rsidR="0030749E" w:rsidRPr="00CD48F9">
        <w:rPr>
          <w:lang w:val="ro-RO"/>
        </w:rPr>
        <w:t xml:space="preserve"> și </w:t>
      </w:r>
      <w:r w:rsidRPr="00CD48F9">
        <w:rPr>
          <w:lang w:val="ro-RO"/>
        </w:rPr>
        <w:t>35 din Legea</w:t>
      </w:r>
      <w:r w:rsidR="0030749E" w:rsidRPr="00CD48F9">
        <w:rPr>
          <w:lang w:val="ro-RO"/>
        </w:rPr>
        <w:t xml:space="preserve"> </w:t>
      </w:r>
      <w:r w:rsidRPr="00CD48F9">
        <w:rPr>
          <w:lang w:val="ro-RO"/>
        </w:rPr>
        <w:t>nr. 318/2015, precum și de</w:t>
      </w:r>
      <w:r w:rsidR="0030749E" w:rsidRPr="00CD48F9">
        <w:rPr>
          <w:lang w:val="ro-RO"/>
        </w:rPr>
        <w:t xml:space="preserve"> prevederile</w:t>
      </w:r>
      <w:r w:rsidRPr="00CD48F9">
        <w:rPr>
          <w:lang w:val="ro-RO"/>
        </w:rPr>
        <w:t xml:space="preserve"> Legii nr. 216/2016.</w:t>
      </w:r>
      <w:r w:rsidR="00F7223D" w:rsidRPr="00CD48F9">
        <w:rPr>
          <w:lang w:val="ro-RO"/>
        </w:rPr>
        <w:t xml:space="preserve"> Ulterior formulării propunerii ANABI, cererea  de reutilizare a fost retrasă de către beneficiar. </w:t>
      </w:r>
      <w:r w:rsidRPr="00CD48F9">
        <w:rPr>
          <w:lang w:val="ro-RO"/>
        </w:rPr>
        <w:t xml:space="preserve"> </w:t>
      </w:r>
    </w:p>
    <w:p w:rsidR="00FC6722" w:rsidRPr="00CD48F9" w:rsidRDefault="0030749E" w:rsidP="00972E3A">
      <w:pPr>
        <w:spacing w:after="120" w:line="276" w:lineRule="auto"/>
        <w:rPr>
          <w:lang w:val="ro-RO"/>
        </w:rPr>
      </w:pPr>
      <w:r w:rsidRPr="00CD48F9">
        <w:rPr>
          <w:lang w:val="ro-RO"/>
        </w:rPr>
        <w:lastRenderedPageBreak/>
        <w:t xml:space="preserve">În </w:t>
      </w:r>
      <w:r w:rsidR="00FC6722" w:rsidRPr="00CD48F9">
        <w:rPr>
          <w:lang w:val="ro-RO"/>
        </w:rPr>
        <w:t xml:space="preserve">temeiul prevederilor OUG </w:t>
      </w:r>
      <w:r w:rsidRPr="00CD48F9">
        <w:rPr>
          <w:lang w:val="ro-RO"/>
        </w:rPr>
        <w:t xml:space="preserve">nr. </w:t>
      </w:r>
      <w:r w:rsidR="00FC6722" w:rsidRPr="00CD48F9">
        <w:rPr>
          <w:lang w:val="ro-RO"/>
        </w:rPr>
        <w:t>114/2018</w:t>
      </w:r>
      <w:r w:rsidRPr="00CD48F9">
        <w:rPr>
          <w:lang w:val="ro-RO"/>
        </w:rPr>
        <w:t xml:space="preserve"> privind instituirea unor măsuri în domeniul </w:t>
      </w:r>
      <w:proofErr w:type="spellStart"/>
      <w:r w:rsidRPr="00CD48F9">
        <w:rPr>
          <w:lang w:val="ro-RO"/>
        </w:rPr>
        <w:t>investiţiilor</w:t>
      </w:r>
      <w:proofErr w:type="spellEnd"/>
      <w:r w:rsidRPr="00CD48F9">
        <w:rPr>
          <w:lang w:val="ro-RO"/>
        </w:rPr>
        <w:t xml:space="preserve"> publice </w:t>
      </w:r>
      <w:proofErr w:type="spellStart"/>
      <w:r w:rsidRPr="00CD48F9">
        <w:rPr>
          <w:lang w:val="ro-RO"/>
        </w:rPr>
        <w:t>şi</w:t>
      </w:r>
      <w:proofErr w:type="spellEnd"/>
      <w:r w:rsidRPr="00CD48F9">
        <w:rPr>
          <w:lang w:val="ro-RO"/>
        </w:rPr>
        <w:t xml:space="preserve"> a unor măsuri fiscal-bugetare, modificarea </w:t>
      </w:r>
      <w:proofErr w:type="spellStart"/>
      <w:r w:rsidRPr="00CD48F9">
        <w:rPr>
          <w:lang w:val="ro-RO"/>
        </w:rPr>
        <w:t>şi</w:t>
      </w:r>
      <w:proofErr w:type="spellEnd"/>
      <w:r w:rsidRPr="00CD48F9">
        <w:rPr>
          <w:lang w:val="ro-RO"/>
        </w:rPr>
        <w:t xml:space="preserve"> completarea unor acte normative </w:t>
      </w:r>
      <w:proofErr w:type="spellStart"/>
      <w:r w:rsidRPr="00CD48F9">
        <w:rPr>
          <w:lang w:val="ro-RO"/>
        </w:rPr>
        <w:t>şi</w:t>
      </w:r>
      <w:proofErr w:type="spellEnd"/>
      <w:r w:rsidRPr="00CD48F9">
        <w:rPr>
          <w:lang w:val="ro-RO"/>
        </w:rPr>
        <w:t xml:space="preserve"> prorogarea unor termene,</w:t>
      </w:r>
      <w:r w:rsidR="00FC6722" w:rsidRPr="00CD48F9">
        <w:rPr>
          <w:lang w:val="ro-RO"/>
        </w:rPr>
        <w:t xml:space="preserve"> a fost abrogat art. 37 din Legea</w:t>
      </w:r>
      <w:r w:rsidR="00982AF6" w:rsidRPr="00CD48F9">
        <w:rPr>
          <w:lang w:val="ro-RO"/>
        </w:rPr>
        <w:t xml:space="preserve"> nr.</w:t>
      </w:r>
      <w:r w:rsidR="00FC6722" w:rsidRPr="00CD48F9">
        <w:rPr>
          <w:lang w:val="ro-RO"/>
        </w:rPr>
        <w:t xml:space="preserve"> 318/2015</w:t>
      </w:r>
      <w:r w:rsidRPr="00CD48F9">
        <w:rPr>
          <w:lang w:val="ro-RO"/>
        </w:rPr>
        <w:t xml:space="preserve"> ce făcea referire la modalitatea alocării sumelor rezultate din valorificarea bunurilor mobile </w:t>
      </w:r>
      <w:proofErr w:type="spellStart"/>
      <w:r w:rsidRPr="00CD48F9">
        <w:rPr>
          <w:lang w:val="ro-RO"/>
        </w:rPr>
        <w:t>şi</w:t>
      </w:r>
      <w:proofErr w:type="spellEnd"/>
      <w:r w:rsidRPr="00CD48F9">
        <w:rPr>
          <w:lang w:val="ro-RO"/>
        </w:rPr>
        <w:t xml:space="preserve"> imobile, după rămânerea definitivă a hotărârii de confiscare</w:t>
      </w:r>
      <w:r w:rsidR="00FC6722" w:rsidRPr="00CD48F9">
        <w:rPr>
          <w:lang w:val="ro-RO"/>
        </w:rPr>
        <w:t xml:space="preserve">. Pentru anii precedenți ANABI a publicat informațiile relevante privind alocarea sumelor și modul de utilizare. </w:t>
      </w:r>
    </w:p>
    <w:p w:rsidR="00217903" w:rsidRPr="00CD48F9" w:rsidRDefault="008921D1" w:rsidP="00972E3A">
      <w:pPr>
        <w:spacing w:after="120" w:line="276" w:lineRule="auto"/>
        <w:rPr>
          <w:lang w:val="ro-RO"/>
        </w:rPr>
      </w:pPr>
      <w:r w:rsidRPr="00CD48F9">
        <w:rPr>
          <w:b/>
          <w:lang w:val="ro-RO"/>
        </w:rPr>
        <w:t>Măsura 1.2.2.</w:t>
      </w:r>
      <w:r w:rsidRPr="00CD48F9">
        <w:rPr>
          <w:lang w:val="ro-RO"/>
        </w:rPr>
        <w:t xml:space="preserve"> privind publicarea anuală, în format deschis, a indicatorilor de performanță elaborați și monitorizați în cadrul SNA se implem</w:t>
      </w:r>
      <w:r w:rsidR="00B10933" w:rsidRPr="00CD48F9">
        <w:rPr>
          <w:lang w:val="ro-RO"/>
        </w:rPr>
        <w:t>entează anual</w:t>
      </w:r>
      <w:r w:rsidRPr="00CD48F9">
        <w:rPr>
          <w:lang w:val="ro-RO"/>
        </w:rPr>
        <w:t xml:space="preserve"> pe </w:t>
      </w:r>
      <w:r w:rsidR="00A307D9" w:rsidRPr="00CD48F9">
        <w:rPr>
          <w:lang w:val="ro-RO"/>
        </w:rPr>
        <w:t>portalul</w:t>
      </w:r>
      <w:r w:rsidRPr="00CD48F9">
        <w:rPr>
          <w:lang w:val="ro-RO"/>
        </w:rPr>
        <w:t xml:space="preserve"> sna.just.ro, </w:t>
      </w:r>
      <w:r w:rsidR="00370957" w:rsidRPr="00CD48F9">
        <w:rPr>
          <w:lang w:val="ro-RO"/>
        </w:rPr>
        <w:t>prin publicarea raportului anual de monitorizare</w:t>
      </w:r>
      <w:r w:rsidR="00370957" w:rsidRPr="00CD48F9">
        <w:rPr>
          <w:rStyle w:val="FootnoteReference"/>
          <w:lang w:val="ro-RO"/>
        </w:rPr>
        <w:footnoteReference w:id="15"/>
      </w:r>
      <w:r w:rsidR="00DC1D59" w:rsidRPr="00CD48F9">
        <w:rPr>
          <w:lang w:val="ro-RO"/>
        </w:rPr>
        <w:t xml:space="preserve"> și a anexelor acestuia</w:t>
      </w:r>
      <w:r w:rsidR="00217903" w:rsidRPr="00CD48F9">
        <w:rPr>
          <w:lang w:val="ro-RO"/>
        </w:rPr>
        <w:t xml:space="preserve">. </w:t>
      </w:r>
      <w:r w:rsidR="003D3C59" w:rsidRPr="00CD48F9">
        <w:rPr>
          <w:lang w:val="ro-RO"/>
        </w:rPr>
        <w:t>Pentru anul 2019</w:t>
      </w:r>
      <w:r w:rsidR="00217903" w:rsidRPr="00CD48F9">
        <w:rPr>
          <w:lang w:val="ro-RO"/>
        </w:rPr>
        <w:t xml:space="preserve">, colectarea datelor s-a făcut în </w:t>
      </w:r>
      <w:r w:rsidR="00DC1D59" w:rsidRPr="00CD48F9">
        <w:rPr>
          <w:lang w:val="ro-RO"/>
        </w:rPr>
        <w:t xml:space="preserve">perioada ianuarie - </w:t>
      </w:r>
      <w:r w:rsidR="003D3C59" w:rsidRPr="00CD48F9">
        <w:rPr>
          <w:lang w:val="ro-RO"/>
        </w:rPr>
        <w:t>martie 2020</w:t>
      </w:r>
      <w:r w:rsidR="00370957" w:rsidRPr="00CD48F9">
        <w:rPr>
          <w:lang w:val="ro-RO"/>
        </w:rPr>
        <w:t xml:space="preserve">, </w:t>
      </w:r>
      <w:r w:rsidR="00D033FE" w:rsidRPr="00CD48F9">
        <w:rPr>
          <w:lang w:val="ro-RO"/>
        </w:rPr>
        <w:t xml:space="preserve">raportul fiind disponibil </w:t>
      </w:r>
      <w:r w:rsidR="00625FB7" w:rsidRPr="00CD48F9">
        <w:rPr>
          <w:lang w:val="ro-RO"/>
        </w:rPr>
        <w:t>pe portalul sna.just.ro, la secțiunea monitorizare (</w:t>
      </w:r>
      <w:hyperlink r:id="rId8" w:history="1">
        <w:r w:rsidR="00625FB7" w:rsidRPr="00AB4CE4">
          <w:rPr>
            <w:rStyle w:val="Hyperlink"/>
            <w:lang w:val="ro-RO"/>
          </w:rPr>
          <w:t>http://sna.just.ro/Rapoarte+de+monitorizare</w:t>
        </w:r>
      </w:hyperlink>
      <w:r w:rsidR="00625FB7" w:rsidRPr="00CD48F9">
        <w:rPr>
          <w:lang w:val="ro-RO"/>
        </w:rPr>
        <w:t>)</w:t>
      </w:r>
      <w:r w:rsidR="00370957" w:rsidRPr="00CD48F9">
        <w:rPr>
          <w:lang w:val="ro-RO"/>
        </w:rPr>
        <w:t>.</w:t>
      </w:r>
    </w:p>
    <w:p w:rsidR="003211BB" w:rsidRPr="00CD48F9" w:rsidRDefault="008921D1" w:rsidP="00972E3A">
      <w:pPr>
        <w:spacing w:after="120" w:line="276" w:lineRule="auto"/>
        <w:rPr>
          <w:lang w:val="ro-RO"/>
        </w:rPr>
      </w:pPr>
      <w:r w:rsidRPr="00CD48F9">
        <w:rPr>
          <w:b/>
          <w:lang w:val="ro-RO"/>
        </w:rPr>
        <w:t>Măsura 1.2.3</w:t>
      </w:r>
      <w:r w:rsidRPr="00CD48F9">
        <w:rPr>
          <w:lang w:val="ro-RO"/>
        </w:rPr>
        <w:t xml:space="preserve"> privind elaborarea, aprobarea </w:t>
      </w:r>
      <w:proofErr w:type="spellStart"/>
      <w:r w:rsidRPr="00CD48F9">
        <w:rPr>
          <w:lang w:val="ro-RO"/>
        </w:rPr>
        <w:t>şi</w:t>
      </w:r>
      <w:proofErr w:type="spellEnd"/>
      <w:r w:rsidRPr="00CD48F9">
        <w:rPr>
          <w:lang w:val="ro-RO"/>
        </w:rPr>
        <w:t xml:space="preserve"> implementarea unei proceduri de proces pentru colectarea datelor necesare elaborării propunerii de buget al MJ a fost implementată în cursul anului 2017</w:t>
      </w:r>
      <w:r w:rsidR="00C06B6D" w:rsidRPr="00CD48F9">
        <w:rPr>
          <w:lang w:val="ro-RO"/>
        </w:rPr>
        <w:t>,</w:t>
      </w:r>
      <w:r w:rsidRPr="00CD48F9">
        <w:rPr>
          <w:lang w:val="ro-RO"/>
        </w:rPr>
        <w:t xml:space="preserve"> prin </w:t>
      </w:r>
      <w:r w:rsidR="00CF3927" w:rsidRPr="00CD48F9">
        <w:rPr>
          <w:lang w:val="ro-RO"/>
        </w:rPr>
        <w:t xml:space="preserve">elaborarea </w:t>
      </w:r>
      <w:proofErr w:type="spellStart"/>
      <w:r w:rsidR="00CF3927" w:rsidRPr="00CD48F9">
        <w:rPr>
          <w:lang w:val="ro-RO"/>
        </w:rPr>
        <w:t>şi</w:t>
      </w:r>
      <w:proofErr w:type="spellEnd"/>
      <w:r w:rsidR="00CF3927" w:rsidRPr="00CD48F9">
        <w:rPr>
          <w:lang w:val="ro-RO"/>
        </w:rPr>
        <w:t xml:space="preserve"> aplicarea </w:t>
      </w:r>
      <w:r w:rsidRPr="00CD48F9">
        <w:rPr>
          <w:lang w:val="ro-RO"/>
        </w:rPr>
        <w:t>procedur</w:t>
      </w:r>
      <w:r w:rsidR="00CF3927" w:rsidRPr="00CD48F9">
        <w:rPr>
          <w:lang w:val="ro-RO"/>
        </w:rPr>
        <w:t>ii</w:t>
      </w:r>
      <w:r w:rsidRPr="00CD48F9">
        <w:rPr>
          <w:lang w:val="ro-RO"/>
        </w:rPr>
        <w:t xml:space="preserve"> de proces PP-02 </w:t>
      </w:r>
      <w:r w:rsidR="0009273D" w:rsidRPr="00CD48F9">
        <w:rPr>
          <w:lang w:val="ro-RO"/>
        </w:rPr>
        <w:t>“</w:t>
      </w:r>
      <w:r w:rsidRPr="00CD48F9">
        <w:rPr>
          <w:lang w:val="ro-RO"/>
        </w:rPr>
        <w:t>Asigurare resurse</w:t>
      </w:r>
      <w:r w:rsidR="0009273D" w:rsidRPr="00CD48F9">
        <w:rPr>
          <w:lang w:val="ro-RO"/>
        </w:rPr>
        <w:t>”, al cărui scop îl reprezintă fundamentarea, elaborarea, executarea, revizuirea și raportarea bugetului de venituri și cheltuieli al MJ, astfel încât utilizarea resurselor să fie realizată în conformitate cu obiectivele stabilite</w:t>
      </w:r>
      <w:r w:rsidRPr="00CD48F9">
        <w:rPr>
          <w:lang w:val="ro-RO"/>
        </w:rPr>
        <w:t>.</w:t>
      </w:r>
      <w:r w:rsidR="003211BB" w:rsidRPr="00CD48F9">
        <w:rPr>
          <w:lang w:val="ro-RO"/>
        </w:rPr>
        <w:t xml:space="preserve"> Procedura a fost revizuită la data de 10.12.2019 cu raportarea bugetului în Sistemul </w:t>
      </w:r>
      <w:r w:rsidR="00AE0D9C" w:rsidRPr="00CD48F9">
        <w:rPr>
          <w:lang w:val="ro-RO"/>
        </w:rPr>
        <w:t>Național de Raportare FOREXBUG.</w:t>
      </w:r>
      <w:r w:rsidRPr="00CD48F9">
        <w:rPr>
          <w:lang w:val="ro-RO"/>
        </w:rPr>
        <w:t xml:space="preserve"> </w:t>
      </w:r>
      <w:r w:rsidR="003211BB" w:rsidRPr="00CD48F9">
        <w:rPr>
          <w:lang w:val="ro-RO"/>
        </w:rPr>
        <w:t xml:space="preserve">De asemenea, a fost elaborată și implementată instrucțiunea de lucru IL-02-01 -”Fundamentare și întocmire proiect de buget și deschideri de credite Aparat propriu”, revizuită la data de 15.11.2019 cu raportarea bugetului în Sistemul Național de Raportare FOREXBUG. Scopul instrucțiunii de lucru este acela de fundamentare, elaborare, executare, revizuire și raportare a bugetului de venituri și cheltuieli al </w:t>
      </w:r>
      <w:r w:rsidR="00C06B6D" w:rsidRPr="00CD48F9">
        <w:rPr>
          <w:lang w:val="ro-RO"/>
        </w:rPr>
        <w:t>MJ</w:t>
      </w:r>
      <w:r w:rsidR="003211BB" w:rsidRPr="00CD48F9">
        <w:rPr>
          <w:lang w:val="ro-RO"/>
        </w:rPr>
        <w:t xml:space="preserve">, aparat propriu. </w:t>
      </w:r>
    </w:p>
    <w:p w:rsidR="00E9659B" w:rsidRPr="00CD48F9" w:rsidRDefault="00E9659B" w:rsidP="00972E3A">
      <w:pPr>
        <w:spacing w:after="120" w:line="276" w:lineRule="auto"/>
        <w:rPr>
          <w:lang w:val="ro-RO"/>
        </w:rPr>
      </w:pPr>
      <w:r w:rsidRPr="00CD48F9">
        <w:rPr>
          <w:lang w:val="ro-RO"/>
        </w:rPr>
        <w:t xml:space="preserve">Atât procedura de proces, cât și instrucțiunea de lucru sunt afișate pe pagina de intranet a MJ – </w:t>
      </w:r>
      <w:r w:rsidRPr="00CD48F9">
        <w:rPr>
          <w:i/>
          <w:lang w:val="ro-RO"/>
        </w:rPr>
        <w:t>intranet.just.ro</w:t>
      </w:r>
      <w:r w:rsidRPr="00CD48F9">
        <w:rPr>
          <w:lang w:val="ro-RO"/>
        </w:rPr>
        <w:t>.</w:t>
      </w:r>
    </w:p>
    <w:p w:rsidR="00612F2B" w:rsidRPr="00CD48F9" w:rsidRDefault="00CB03C6" w:rsidP="00972E3A">
      <w:pPr>
        <w:pStyle w:val="Title"/>
        <w:spacing w:before="0" w:after="120" w:line="276" w:lineRule="auto"/>
        <w:jc w:val="both"/>
        <w:rPr>
          <w:rFonts w:ascii="Trebuchet MS" w:hAnsi="Trebuchet MS"/>
          <w:sz w:val="22"/>
          <w:szCs w:val="22"/>
          <w:lang w:val="ro-RO"/>
        </w:rPr>
      </w:pPr>
      <w:bookmarkStart w:id="11" w:name="_Toc3376515"/>
      <w:r w:rsidRPr="00CD48F9">
        <w:rPr>
          <w:rFonts w:ascii="Trebuchet MS" w:hAnsi="Trebuchet MS"/>
          <w:sz w:val="22"/>
          <w:szCs w:val="22"/>
          <w:lang w:val="ro-RO"/>
        </w:rPr>
        <w:t>4</w:t>
      </w:r>
      <w:r w:rsidR="00612F2B" w:rsidRPr="00CD48F9">
        <w:rPr>
          <w:rFonts w:ascii="Trebuchet MS" w:hAnsi="Trebuchet MS"/>
          <w:sz w:val="22"/>
          <w:szCs w:val="22"/>
          <w:lang w:val="ro-RO"/>
        </w:rPr>
        <w:t xml:space="preserve">. Creșterea integrității instituționale prin includerea măsurilor de prevenire a </w:t>
      </w:r>
      <w:proofErr w:type="spellStart"/>
      <w:r w:rsidR="00612F2B" w:rsidRPr="00CD48F9">
        <w:rPr>
          <w:rFonts w:ascii="Trebuchet MS" w:hAnsi="Trebuchet MS"/>
          <w:sz w:val="22"/>
          <w:szCs w:val="22"/>
          <w:lang w:val="ro-RO"/>
        </w:rPr>
        <w:t>corupţiei</w:t>
      </w:r>
      <w:proofErr w:type="spellEnd"/>
      <w:r w:rsidR="00612F2B" w:rsidRPr="00CD48F9">
        <w:rPr>
          <w:rFonts w:ascii="Trebuchet MS" w:hAnsi="Trebuchet MS"/>
          <w:sz w:val="22"/>
          <w:szCs w:val="22"/>
          <w:lang w:val="ro-RO"/>
        </w:rPr>
        <w:t xml:space="preserve"> ca elemente obligatorii ale planurilor manageriale și evaluarea lor periodică ca parte integrantă a performanței administrative</w:t>
      </w:r>
      <w:r w:rsidR="002F1DFC" w:rsidRPr="00CD48F9">
        <w:rPr>
          <w:rFonts w:ascii="Trebuchet MS" w:hAnsi="Trebuchet MS"/>
          <w:sz w:val="22"/>
          <w:szCs w:val="22"/>
          <w:lang w:val="ro-RO"/>
        </w:rPr>
        <w:t xml:space="preserve"> (Obiectivul general 2)</w:t>
      </w:r>
      <w:bookmarkEnd w:id="11"/>
    </w:p>
    <w:p w:rsidR="00855007" w:rsidRPr="00CD48F9" w:rsidRDefault="00CB03C6" w:rsidP="00972E3A">
      <w:pPr>
        <w:pStyle w:val="Title"/>
        <w:spacing w:before="0" w:after="120" w:line="276" w:lineRule="auto"/>
        <w:jc w:val="both"/>
        <w:rPr>
          <w:rFonts w:ascii="Trebuchet MS" w:hAnsi="Trebuchet MS"/>
          <w:sz w:val="22"/>
          <w:szCs w:val="22"/>
          <w:lang w:val="ro-RO"/>
        </w:rPr>
      </w:pPr>
      <w:bookmarkStart w:id="12" w:name="_Toc3376516"/>
      <w:r w:rsidRPr="00CD48F9">
        <w:rPr>
          <w:rFonts w:ascii="Trebuchet MS" w:hAnsi="Trebuchet MS"/>
          <w:sz w:val="22"/>
          <w:szCs w:val="22"/>
          <w:lang w:val="ro-RO"/>
        </w:rPr>
        <w:t>4</w:t>
      </w:r>
      <w:r w:rsidR="00612F2B" w:rsidRPr="00CD48F9">
        <w:rPr>
          <w:rFonts w:ascii="Trebuchet MS" w:hAnsi="Trebuchet MS"/>
          <w:sz w:val="22"/>
          <w:szCs w:val="22"/>
          <w:lang w:val="ro-RO"/>
        </w:rPr>
        <w:t>.1. Îmbunătățirea capacității de gestionare a eșecului de management prin corelarea instrumentelor administrative care au impact asupra identificării timpurii a riscurilor și vulnerabilităților instituționale</w:t>
      </w:r>
      <w:r w:rsidR="002F1DFC" w:rsidRPr="00CD48F9">
        <w:rPr>
          <w:rFonts w:ascii="Trebuchet MS" w:hAnsi="Trebuchet MS"/>
          <w:sz w:val="22"/>
          <w:szCs w:val="22"/>
          <w:lang w:val="ro-RO"/>
        </w:rPr>
        <w:t xml:space="preserve"> (Obiectivul specific 2.1)</w:t>
      </w:r>
      <w:bookmarkEnd w:id="12"/>
    </w:p>
    <w:p w:rsidR="00B779E5" w:rsidRPr="00CD48F9" w:rsidRDefault="003870C8" w:rsidP="00972E3A">
      <w:pPr>
        <w:spacing w:after="120" w:line="276" w:lineRule="auto"/>
        <w:rPr>
          <w:rFonts w:eastAsia="Calibri"/>
          <w:u w:val="single"/>
          <w:lang w:val="ro-RO"/>
        </w:rPr>
      </w:pPr>
      <w:r w:rsidRPr="00CD48F9">
        <w:rPr>
          <w:rFonts w:eastAsia="Calibri"/>
          <w:b/>
          <w:lang w:val="ro-RO"/>
        </w:rPr>
        <w:t>Măsura</w:t>
      </w:r>
      <w:r w:rsidR="00680DCE" w:rsidRPr="00CD48F9">
        <w:rPr>
          <w:rFonts w:eastAsia="Calibri"/>
          <w:b/>
          <w:lang w:val="ro-RO"/>
        </w:rPr>
        <w:t xml:space="preserve"> 2.1.1.</w:t>
      </w:r>
      <w:r w:rsidR="00680DCE" w:rsidRPr="00CD48F9">
        <w:rPr>
          <w:rFonts w:eastAsia="Calibri"/>
          <w:lang w:val="ro-RO"/>
        </w:rPr>
        <w:t xml:space="preserve"> privind</w:t>
      </w:r>
      <w:r w:rsidR="00855007" w:rsidRPr="00CD48F9">
        <w:rPr>
          <w:rFonts w:eastAsia="Calibri"/>
          <w:lang w:val="ro-RO"/>
        </w:rPr>
        <w:t xml:space="preserve"> </w:t>
      </w:r>
      <w:r w:rsidR="00680DCE" w:rsidRPr="00CD48F9">
        <w:rPr>
          <w:lang w:val="ro-RO"/>
        </w:rPr>
        <w:t>a</w:t>
      </w:r>
      <w:r w:rsidR="00855007" w:rsidRPr="00CD48F9">
        <w:rPr>
          <w:lang w:val="ro-RO"/>
        </w:rPr>
        <w:t>uditarea internă, o dată la doi ani, a sistemului de prevenire a corupției la nivelul tuturor autorităților publice</w:t>
      </w:r>
      <w:r w:rsidR="00680DCE" w:rsidRPr="00CD48F9">
        <w:rPr>
          <w:lang w:val="ro-RO"/>
        </w:rPr>
        <w:t xml:space="preserve"> a fost implementată în anul 2019.</w:t>
      </w:r>
      <w:r w:rsidR="00680DCE" w:rsidRPr="00CD48F9">
        <w:rPr>
          <w:rFonts w:eastAsia="Calibri"/>
          <w:lang w:val="ro-RO"/>
        </w:rPr>
        <w:t xml:space="preserve"> În </w:t>
      </w:r>
      <w:r w:rsidR="005270CA" w:rsidRPr="00CD48F9">
        <w:rPr>
          <w:rFonts w:eastAsia="Calibri"/>
          <w:lang w:val="ro-RO"/>
        </w:rPr>
        <w:t xml:space="preserve">perioada 10 iunie – 19 iunie 2019, a fost realizată misiunea de audit public intern cu tema </w:t>
      </w:r>
      <w:r w:rsidR="005270CA" w:rsidRPr="00CD48F9">
        <w:rPr>
          <w:rFonts w:eastAsia="Calibri"/>
          <w:i/>
          <w:lang w:val="ro-RO"/>
        </w:rPr>
        <w:t>“Evaluarea sistemului de prevenire a corupției”</w:t>
      </w:r>
      <w:r w:rsidR="005270CA" w:rsidRPr="00CD48F9">
        <w:rPr>
          <w:rFonts w:eastAsia="Calibri"/>
          <w:lang w:val="ro-RO"/>
        </w:rPr>
        <w:t>. Misiunea a fost derulată de Serviciul Audit Public Intern</w:t>
      </w:r>
      <w:r w:rsidR="00B779E5" w:rsidRPr="00CD48F9">
        <w:rPr>
          <w:rFonts w:eastAsia="Calibri"/>
          <w:lang w:val="ro-RO"/>
        </w:rPr>
        <w:t xml:space="preserve"> (SAPI)</w:t>
      </w:r>
      <w:r w:rsidR="00C06B6D" w:rsidRPr="00CD48F9">
        <w:rPr>
          <w:rFonts w:eastAsia="Calibri"/>
          <w:lang w:val="ro-RO"/>
        </w:rPr>
        <w:t xml:space="preserve"> și s-a desfășurat</w:t>
      </w:r>
      <w:r w:rsidR="000A2A4D" w:rsidRPr="00CD48F9">
        <w:rPr>
          <w:rFonts w:eastAsia="Calibri"/>
          <w:lang w:val="ro-RO"/>
        </w:rPr>
        <w:t xml:space="preserve"> atât </w:t>
      </w:r>
      <w:r w:rsidR="005270CA" w:rsidRPr="00CD48F9">
        <w:rPr>
          <w:rFonts w:eastAsia="Calibri"/>
          <w:lang w:val="ro-RO"/>
        </w:rPr>
        <w:t xml:space="preserve">la nivelul MJ, </w:t>
      </w:r>
      <w:r w:rsidR="000A2A4D" w:rsidRPr="00CD48F9">
        <w:rPr>
          <w:rFonts w:eastAsia="Calibri"/>
          <w:lang w:val="ro-RO"/>
        </w:rPr>
        <w:t xml:space="preserve">cât și </w:t>
      </w:r>
      <w:r w:rsidR="005270CA" w:rsidRPr="00CD48F9">
        <w:rPr>
          <w:rFonts w:eastAsia="Calibri"/>
          <w:lang w:val="ro-RO"/>
        </w:rPr>
        <w:t>al Agenției Naționale de Administrare a Bunurilor Indisponibilizate, al Institutului Național de Expertize Criminali</w:t>
      </w:r>
      <w:r w:rsidR="00D356F6" w:rsidRPr="00CD48F9">
        <w:rPr>
          <w:rFonts w:eastAsia="Calibri"/>
          <w:lang w:val="ro-RO"/>
        </w:rPr>
        <w:t>s</w:t>
      </w:r>
      <w:r w:rsidR="005270CA" w:rsidRPr="00CD48F9">
        <w:rPr>
          <w:rFonts w:eastAsia="Calibri"/>
          <w:lang w:val="ro-RO"/>
        </w:rPr>
        <w:t xml:space="preserve">tice, al Centrului Medical de Diagnostic și Tratament Ambulatoriu </w:t>
      </w:r>
      <w:r w:rsidR="00C06B6D" w:rsidRPr="00CD48F9">
        <w:rPr>
          <w:rFonts w:eastAsia="Calibri"/>
          <w:lang w:val="ro-RO"/>
        </w:rPr>
        <w:t xml:space="preserve">– Ministerul Justiției </w:t>
      </w:r>
      <w:r w:rsidR="005270CA" w:rsidRPr="00CD48F9">
        <w:rPr>
          <w:rFonts w:eastAsia="Calibri"/>
          <w:lang w:val="ro-RO"/>
        </w:rPr>
        <w:t>și al Spitalului ”Prof. Dr. Constantin Angelescu”</w:t>
      </w:r>
      <w:r w:rsidR="000A2A4D" w:rsidRPr="00CD48F9">
        <w:rPr>
          <w:rFonts w:eastAsia="Calibri"/>
          <w:lang w:val="ro-RO"/>
        </w:rPr>
        <w:t>, structuri care nu au compartimente de audit proprii</w:t>
      </w:r>
      <w:r w:rsidR="005270CA" w:rsidRPr="00CD48F9">
        <w:rPr>
          <w:rFonts w:eastAsia="Calibri"/>
          <w:lang w:val="ro-RO"/>
        </w:rPr>
        <w:t xml:space="preserve">. </w:t>
      </w:r>
      <w:r w:rsidR="000A2A4D" w:rsidRPr="00CD48F9">
        <w:rPr>
          <w:rFonts w:eastAsia="Calibri"/>
          <w:lang w:val="ro-RO"/>
        </w:rPr>
        <w:t xml:space="preserve">De asemenea, misiuni de audit public intern au avut loc și la nivelul Oficiului Național al Registrului Comerțului și la nivelul Administrației Naționale a Penitenciarelor, fiind derulate de compartimentele de audit proprii. </w:t>
      </w:r>
      <w:r w:rsidR="005270CA" w:rsidRPr="00CD48F9">
        <w:rPr>
          <w:rFonts w:eastAsia="Calibri"/>
          <w:lang w:val="ro-RO"/>
        </w:rPr>
        <w:t xml:space="preserve">Temele care au făcut </w:t>
      </w:r>
      <w:r w:rsidR="000A2A4D" w:rsidRPr="00CD48F9">
        <w:rPr>
          <w:rFonts w:eastAsia="Calibri"/>
          <w:lang w:val="ro-RO"/>
        </w:rPr>
        <w:t>obiectul misiunilor</w:t>
      </w:r>
      <w:r w:rsidR="005270CA" w:rsidRPr="00CD48F9">
        <w:rPr>
          <w:rFonts w:eastAsia="Calibri"/>
          <w:lang w:val="ro-RO"/>
        </w:rPr>
        <w:t xml:space="preserve"> de audit au fost: </w:t>
      </w:r>
      <w:r w:rsidR="005270CA" w:rsidRPr="00CD48F9">
        <w:rPr>
          <w:rFonts w:eastAsia="Calibri"/>
          <w:i/>
          <w:lang w:val="ro-RO"/>
        </w:rPr>
        <w:t>codul etic/deontologic/de conduită, consilierul de etică</w:t>
      </w:r>
      <w:r w:rsidR="005270CA" w:rsidRPr="00CD48F9">
        <w:rPr>
          <w:rFonts w:eastAsia="Calibri"/>
          <w:lang w:val="ro-RO"/>
        </w:rPr>
        <w:t xml:space="preserve"> și </w:t>
      </w:r>
      <w:r w:rsidR="005270CA" w:rsidRPr="00CD48F9">
        <w:rPr>
          <w:rFonts w:eastAsia="Calibri"/>
          <w:i/>
          <w:lang w:val="ro-RO"/>
        </w:rPr>
        <w:t>funcțiile sensibile</w:t>
      </w:r>
      <w:r w:rsidR="005270CA" w:rsidRPr="00CD48F9">
        <w:rPr>
          <w:rFonts w:eastAsia="Calibri"/>
          <w:lang w:val="ro-RO"/>
        </w:rPr>
        <w:t xml:space="preserve">. </w:t>
      </w:r>
      <w:r w:rsidR="002C5165" w:rsidRPr="00CD48F9">
        <w:rPr>
          <w:rFonts w:eastAsia="Calibri"/>
          <w:lang w:val="ro-RO"/>
        </w:rPr>
        <w:t xml:space="preserve">Urmare derulării misiunii de audit, la data de 19 august 2019, conducerea MJ a </w:t>
      </w:r>
      <w:r w:rsidR="002C5165" w:rsidRPr="00CD48F9">
        <w:rPr>
          <w:rFonts w:eastAsia="Calibri"/>
          <w:lang w:val="ro-RO"/>
        </w:rPr>
        <w:lastRenderedPageBreak/>
        <w:t>aprobat Raportul de audit public intern privind ”</w:t>
      </w:r>
      <w:r w:rsidR="002C5165" w:rsidRPr="00CD48F9">
        <w:rPr>
          <w:rFonts w:eastAsia="Calibri"/>
          <w:i/>
          <w:lang w:val="ro-RO"/>
        </w:rPr>
        <w:t>Evaluarea sistemului de prevenire a corupției, 2019</w:t>
      </w:r>
      <w:r w:rsidR="002C5165" w:rsidRPr="00CD48F9">
        <w:rPr>
          <w:rFonts w:eastAsia="Calibri"/>
          <w:lang w:val="ro-RO"/>
        </w:rPr>
        <w:t>”.</w:t>
      </w:r>
    </w:p>
    <w:p w:rsidR="00B779E5" w:rsidRPr="00CD48F9" w:rsidRDefault="005270CA" w:rsidP="00972E3A">
      <w:pPr>
        <w:spacing w:after="120" w:line="276" w:lineRule="auto"/>
        <w:rPr>
          <w:rFonts w:eastAsia="Calibri"/>
          <w:lang w:val="ro-RO"/>
        </w:rPr>
      </w:pPr>
      <w:r w:rsidRPr="00CD48F9">
        <w:rPr>
          <w:rFonts w:eastAsia="Calibri"/>
          <w:lang w:val="ro-RO"/>
        </w:rPr>
        <w:t xml:space="preserve">Dat fiind faptul că </w:t>
      </w:r>
      <w:r w:rsidR="00B779E5" w:rsidRPr="00CD48F9">
        <w:rPr>
          <w:rFonts w:eastAsia="Calibri"/>
          <w:lang w:val="ro-RO"/>
        </w:rPr>
        <w:t>în anul 2018, SAPI a realizat, la nivelul</w:t>
      </w:r>
      <w:r w:rsidR="00C06B6D" w:rsidRPr="00CD48F9">
        <w:rPr>
          <w:rFonts w:eastAsia="Calibri"/>
          <w:lang w:val="ro-RO"/>
        </w:rPr>
        <w:t xml:space="preserve"> </w:t>
      </w:r>
      <w:r w:rsidR="00B779E5" w:rsidRPr="00CD48F9">
        <w:rPr>
          <w:rFonts w:eastAsia="Calibri"/>
          <w:lang w:val="ro-RO"/>
        </w:rPr>
        <w:t xml:space="preserve">MJ, misiunea de audit cu tema </w:t>
      </w:r>
      <w:r w:rsidR="00B779E5" w:rsidRPr="00CD48F9">
        <w:rPr>
          <w:rFonts w:eastAsia="Calibri"/>
          <w:i/>
          <w:lang w:val="ro-RO"/>
        </w:rPr>
        <w:t xml:space="preserve">“Evaluarea sistemului de prevenire a corupției”, </w:t>
      </w:r>
      <w:r w:rsidR="00B779E5" w:rsidRPr="00CD48F9">
        <w:rPr>
          <w:rFonts w:eastAsia="Calibri"/>
          <w:lang w:val="ro-RO"/>
        </w:rPr>
        <w:t xml:space="preserve">ce a avut ca obiectiv evaluarea implementării măsurilor preventive </w:t>
      </w:r>
      <w:r w:rsidR="00B779E5" w:rsidRPr="00CD48F9">
        <w:rPr>
          <w:rFonts w:eastAsia="Calibri"/>
          <w:i/>
          <w:lang w:val="ro-RO"/>
        </w:rPr>
        <w:t>codul etic/deontologic/de conduită și consilierul de etică</w:t>
      </w:r>
      <w:r w:rsidR="00B779E5" w:rsidRPr="00CD48F9">
        <w:rPr>
          <w:rFonts w:eastAsia="Calibri"/>
          <w:lang w:val="ro-RO"/>
        </w:rPr>
        <w:t>, în ciclul d</w:t>
      </w:r>
      <w:r w:rsidR="00C06B6D" w:rsidRPr="00CD48F9">
        <w:rPr>
          <w:rFonts w:eastAsia="Calibri"/>
          <w:lang w:val="ro-RO"/>
        </w:rPr>
        <w:t>e auditare derulat în anul 2019</w:t>
      </w:r>
      <w:r w:rsidR="00B779E5" w:rsidRPr="00CD48F9">
        <w:rPr>
          <w:rFonts w:eastAsia="Calibri"/>
          <w:lang w:val="ro-RO"/>
        </w:rPr>
        <w:t xml:space="preserve"> misiunea a vizat doar implementarea măsurii preventive </w:t>
      </w:r>
      <w:r w:rsidR="00B779E5" w:rsidRPr="00CD48F9">
        <w:rPr>
          <w:rFonts w:eastAsia="Calibri"/>
          <w:i/>
          <w:lang w:val="ro-RO"/>
        </w:rPr>
        <w:t>funcțiile sensibile</w:t>
      </w:r>
      <w:r w:rsidR="002C5165" w:rsidRPr="00CD48F9">
        <w:rPr>
          <w:rFonts w:eastAsia="Calibri"/>
          <w:i/>
          <w:lang w:val="ro-RO"/>
        </w:rPr>
        <w:t>.</w:t>
      </w:r>
    </w:p>
    <w:p w:rsidR="002C5165" w:rsidRPr="00CD48F9" w:rsidRDefault="002C5165" w:rsidP="00972E3A">
      <w:pPr>
        <w:spacing w:after="120" w:line="276" w:lineRule="auto"/>
        <w:rPr>
          <w:rFonts w:eastAsia="Calibri"/>
          <w:lang w:val="ro-RO"/>
        </w:rPr>
      </w:pPr>
      <w:r w:rsidRPr="00CD48F9">
        <w:rPr>
          <w:rFonts w:eastAsia="Calibri"/>
          <w:lang w:val="ro-RO"/>
        </w:rPr>
        <w:t>În perioada iunie-iulie 2019, Serviciul Audit Public Intern din cadrul Administrației Naționale a Penitenciarelor a desfășurat 8 misiuni de audit intern în domeniul Strategiei Naționale Anticorupție, formulând 79 de recomandări. Gradul de implementare a recomandărilor formulate este:</w:t>
      </w:r>
      <w:r w:rsidR="006B2FD0" w:rsidRPr="00CD48F9">
        <w:rPr>
          <w:rFonts w:eastAsia="Calibri"/>
          <w:lang w:val="ro-RO"/>
        </w:rPr>
        <w:t xml:space="preserve"> 27 recomandări implementate</w:t>
      </w:r>
      <w:r w:rsidRPr="00CD48F9">
        <w:rPr>
          <w:rFonts w:eastAsia="Calibri"/>
          <w:lang w:val="ro-RO"/>
        </w:rPr>
        <w:t xml:space="preserve"> </w:t>
      </w:r>
      <w:r w:rsidR="006B2FD0" w:rsidRPr="00CD48F9">
        <w:rPr>
          <w:rFonts w:eastAsia="Calibri"/>
          <w:lang w:val="ro-RO"/>
        </w:rPr>
        <w:t>(</w:t>
      </w:r>
      <w:r w:rsidRPr="00CD48F9">
        <w:rPr>
          <w:rFonts w:eastAsia="Calibri"/>
          <w:lang w:val="ro-RO"/>
        </w:rPr>
        <w:t>34,18 %</w:t>
      </w:r>
      <w:r w:rsidR="006B2FD0" w:rsidRPr="00CD48F9">
        <w:rPr>
          <w:rFonts w:eastAsia="Calibri"/>
          <w:lang w:val="ro-RO"/>
        </w:rPr>
        <w:t xml:space="preserve">); </w:t>
      </w:r>
      <w:r w:rsidRPr="00CD48F9">
        <w:rPr>
          <w:rFonts w:eastAsia="Calibri"/>
          <w:lang w:val="ro-RO"/>
        </w:rPr>
        <w:t>48 rec</w:t>
      </w:r>
      <w:r w:rsidR="006B2FD0" w:rsidRPr="00CD48F9">
        <w:rPr>
          <w:rFonts w:eastAsia="Calibri"/>
          <w:lang w:val="ro-RO"/>
        </w:rPr>
        <w:t>omandări parțial implementate (</w:t>
      </w:r>
      <w:r w:rsidRPr="00CD48F9">
        <w:rPr>
          <w:rFonts w:eastAsia="Calibri"/>
          <w:lang w:val="ro-RO"/>
        </w:rPr>
        <w:t>60,76%</w:t>
      </w:r>
      <w:r w:rsidR="006B2FD0" w:rsidRPr="00CD48F9">
        <w:rPr>
          <w:rFonts w:eastAsia="Calibri"/>
          <w:lang w:val="ro-RO"/>
        </w:rPr>
        <w:t>); 4 recomandări neimplementate (</w:t>
      </w:r>
      <w:r w:rsidRPr="00CD48F9">
        <w:rPr>
          <w:rFonts w:eastAsia="Calibri"/>
          <w:lang w:val="ro-RO"/>
        </w:rPr>
        <w:t>5,06%</w:t>
      </w:r>
      <w:r w:rsidR="006B2FD0" w:rsidRPr="00CD48F9">
        <w:rPr>
          <w:rFonts w:eastAsia="Calibri"/>
          <w:lang w:val="ro-RO"/>
        </w:rPr>
        <w:t>).</w:t>
      </w:r>
      <w:r w:rsidR="00C06B6D" w:rsidRPr="00CD48F9">
        <w:rPr>
          <w:rFonts w:eastAsia="Calibri"/>
          <w:lang w:val="ro-RO"/>
        </w:rPr>
        <w:t xml:space="preserve"> </w:t>
      </w:r>
      <w:r w:rsidR="00680DCE" w:rsidRPr="00CD48F9">
        <w:rPr>
          <w:rFonts w:eastAsia="Calibri"/>
          <w:lang w:val="ro-RO"/>
        </w:rPr>
        <w:t>E</w:t>
      </w:r>
      <w:r w:rsidRPr="00CD48F9">
        <w:rPr>
          <w:rFonts w:eastAsia="Calibri"/>
          <w:lang w:val="ro-RO"/>
        </w:rPr>
        <w:t>xistă 3 posturi vacante de auditori interni</w:t>
      </w:r>
      <w:r w:rsidR="00AF18F6" w:rsidRPr="00CD48F9">
        <w:rPr>
          <w:rFonts w:eastAsia="Calibri"/>
          <w:lang w:val="ro-RO"/>
        </w:rPr>
        <w:t>,</w:t>
      </w:r>
      <w:r w:rsidRPr="00CD48F9">
        <w:rPr>
          <w:rFonts w:eastAsia="Calibri"/>
          <w:lang w:val="ro-RO"/>
        </w:rPr>
        <w:t xml:space="preserve"> din cele 9 prevăzute în schemă și se află în curs de desfășurare o procedură de detașare la SAPI a 3 polițiști de penitenciare din unitățile subordonate ANP.</w:t>
      </w:r>
    </w:p>
    <w:p w:rsidR="009C7551" w:rsidRPr="00CD48F9" w:rsidRDefault="001126DF" w:rsidP="00972E3A">
      <w:pPr>
        <w:spacing w:after="120" w:line="276" w:lineRule="auto"/>
        <w:rPr>
          <w:u w:val="single"/>
          <w:lang w:val="ro-RO"/>
        </w:rPr>
      </w:pPr>
      <w:r w:rsidRPr="00CD48F9">
        <w:rPr>
          <w:b/>
          <w:lang w:val="ro-RO"/>
        </w:rPr>
        <w:t>Măsura</w:t>
      </w:r>
      <w:r w:rsidR="00680DCE" w:rsidRPr="00CD48F9">
        <w:rPr>
          <w:b/>
          <w:lang w:val="ro-RO"/>
        </w:rPr>
        <w:t xml:space="preserve"> 2.1.2.</w:t>
      </w:r>
      <w:r w:rsidR="00680DCE" w:rsidRPr="00CD48F9">
        <w:rPr>
          <w:lang w:val="ro-RO"/>
        </w:rPr>
        <w:t xml:space="preserve"> privind s</w:t>
      </w:r>
      <w:r w:rsidR="00855007" w:rsidRPr="00CD48F9">
        <w:rPr>
          <w:lang w:val="ro-RO"/>
        </w:rPr>
        <w:t xml:space="preserve">prijinirea SGG în scopul revizuirii actelor normative secundare </w:t>
      </w:r>
      <w:proofErr w:type="spellStart"/>
      <w:r w:rsidR="00855007" w:rsidRPr="00CD48F9">
        <w:rPr>
          <w:lang w:val="ro-RO"/>
        </w:rPr>
        <w:t>şi</w:t>
      </w:r>
      <w:proofErr w:type="spellEnd"/>
      <w:r w:rsidR="00855007" w:rsidRPr="00CD48F9">
        <w:rPr>
          <w:lang w:val="ro-RO"/>
        </w:rPr>
        <w:t xml:space="preserve">/sau </w:t>
      </w:r>
      <w:proofErr w:type="spellStart"/>
      <w:r w:rsidR="00855007" w:rsidRPr="00CD48F9">
        <w:rPr>
          <w:lang w:val="ro-RO"/>
        </w:rPr>
        <w:t>terţiare</w:t>
      </w:r>
      <w:proofErr w:type="spellEnd"/>
      <w:r w:rsidR="00855007" w:rsidRPr="00CD48F9">
        <w:rPr>
          <w:lang w:val="ro-RO"/>
        </w:rPr>
        <w:t xml:space="preserve"> în materie pentru asigurarea corelării standardelor de control managerial intern cu inventarul măsurilor de </w:t>
      </w:r>
      <w:proofErr w:type="spellStart"/>
      <w:r w:rsidR="00855007" w:rsidRPr="00CD48F9">
        <w:rPr>
          <w:lang w:val="ro-RO"/>
        </w:rPr>
        <w:t>transparenţă</w:t>
      </w:r>
      <w:proofErr w:type="spellEnd"/>
      <w:r w:rsidR="00855007" w:rsidRPr="00CD48F9">
        <w:rPr>
          <w:lang w:val="ro-RO"/>
        </w:rPr>
        <w:t xml:space="preserve"> </w:t>
      </w:r>
      <w:proofErr w:type="spellStart"/>
      <w:r w:rsidR="00855007" w:rsidRPr="00CD48F9">
        <w:rPr>
          <w:lang w:val="ro-RO"/>
        </w:rPr>
        <w:t>instituţională</w:t>
      </w:r>
      <w:proofErr w:type="spellEnd"/>
      <w:r w:rsidR="00855007" w:rsidRPr="00CD48F9">
        <w:rPr>
          <w:lang w:val="ro-RO"/>
        </w:rPr>
        <w:t xml:space="preserve"> </w:t>
      </w:r>
      <w:proofErr w:type="spellStart"/>
      <w:r w:rsidR="00855007" w:rsidRPr="00CD48F9">
        <w:rPr>
          <w:lang w:val="ro-RO"/>
        </w:rPr>
        <w:t>şi</w:t>
      </w:r>
      <w:proofErr w:type="spellEnd"/>
      <w:r w:rsidR="00855007" w:rsidRPr="00CD48F9">
        <w:rPr>
          <w:lang w:val="ro-RO"/>
        </w:rPr>
        <w:t xml:space="preserve"> de prevenire a </w:t>
      </w:r>
      <w:proofErr w:type="spellStart"/>
      <w:r w:rsidR="00855007" w:rsidRPr="00CD48F9">
        <w:rPr>
          <w:lang w:val="ro-RO"/>
        </w:rPr>
        <w:t>corupţiei</w:t>
      </w:r>
      <w:proofErr w:type="spellEnd"/>
      <w:r w:rsidR="00680DCE" w:rsidRPr="00CD48F9">
        <w:rPr>
          <w:lang w:val="ro-RO"/>
        </w:rPr>
        <w:t xml:space="preserve">, </w:t>
      </w:r>
      <w:r w:rsidR="00EC045C" w:rsidRPr="00CD48F9">
        <w:rPr>
          <w:lang w:val="ro-RO"/>
        </w:rPr>
        <w:t xml:space="preserve">a fost implementată prin adoptarea Ordinului SGG nr. 600/2018 privind aprobarea Codului controlului intern managerial al </w:t>
      </w:r>
      <w:proofErr w:type="spellStart"/>
      <w:r w:rsidR="00EC045C" w:rsidRPr="00CD48F9">
        <w:rPr>
          <w:lang w:val="ro-RO"/>
        </w:rPr>
        <w:t>entităţilor</w:t>
      </w:r>
      <w:proofErr w:type="spellEnd"/>
      <w:r w:rsidR="00EC045C" w:rsidRPr="00CD48F9">
        <w:rPr>
          <w:lang w:val="ro-RO"/>
        </w:rPr>
        <w:t xml:space="preserve"> publice, prin care a fost abrogat Ordinul nr. 400/2015</w:t>
      </w:r>
      <w:r w:rsidR="009C7551" w:rsidRPr="00CD48F9">
        <w:rPr>
          <w:lang w:val="ro-RO"/>
        </w:rPr>
        <w:t>.</w:t>
      </w:r>
    </w:p>
    <w:p w:rsidR="00322471" w:rsidRPr="00CD48F9" w:rsidRDefault="00322471" w:rsidP="00972E3A">
      <w:pPr>
        <w:spacing w:after="120" w:line="276" w:lineRule="auto"/>
        <w:rPr>
          <w:lang w:val="ro-RO"/>
        </w:rPr>
      </w:pPr>
      <w:r w:rsidRPr="00CD48F9">
        <w:rPr>
          <w:lang w:val="ro-RO"/>
        </w:rPr>
        <w:t>În</w:t>
      </w:r>
      <w:r w:rsidR="00C06B6D" w:rsidRPr="00CD48F9">
        <w:rPr>
          <w:lang w:val="ro-RO"/>
        </w:rPr>
        <w:t xml:space="preserve"> vederea</w:t>
      </w:r>
      <w:r w:rsidRPr="00CD48F9">
        <w:rPr>
          <w:lang w:val="ro-RO"/>
        </w:rPr>
        <w:t xml:space="preserve"> implementării acestei măsuri, la nivelul ANP au fost emise două decizii: Decizia Directorului General al ANP nr. 609/14.09.2018, completată cu Decizia Directorului General al ANP nr. 647/11.10.2018.</w:t>
      </w:r>
    </w:p>
    <w:p w:rsidR="00322471" w:rsidRPr="00CD48F9" w:rsidRDefault="003870C8" w:rsidP="00972E3A">
      <w:pPr>
        <w:spacing w:after="120" w:line="276" w:lineRule="auto"/>
        <w:rPr>
          <w:lang w:val="ro-RO"/>
        </w:rPr>
      </w:pPr>
      <w:r w:rsidRPr="00CD48F9">
        <w:rPr>
          <w:b/>
          <w:lang w:val="ro-RO"/>
        </w:rPr>
        <w:t>M</w:t>
      </w:r>
      <w:r w:rsidR="00F24B10" w:rsidRPr="00CD48F9">
        <w:rPr>
          <w:b/>
          <w:lang w:val="ro-RO"/>
        </w:rPr>
        <w:t>ăsura 2.1.3.</w:t>
      </w:r>
      <w:r w:rsidR="00F24B10" w:rsidRPr="00CD48F9">
        <w:rPr>
          <w:lang w:val="ro-RO"/>
        </w:rPr>
        <w:t xml:space="preserve"> privind a</w:t>
      </w:r>
      <w:r w:rsidR="00D934AF" w:rsidRPr="00CD48F9">
        <w:rPr>
          <w:lang w:val="ro-RO"/>
        </w:rPr>
        <w:t xml:space="preserve">doptarea cadrului normativ necesar pentru introducerea unei metodologii standard de evaluare a riscurilor de </w:t>
      </w:r>
      <w:proofErr w:type="spellStart"/>
      <w:r w:rsidR="00D934AF" w:rsidRPr="00CD48F9">
        <w:rPr>
          <w:lang w:val="ro-RO"/>
        </w:rPr>
        <w:t>corupţie</w:t>
      </w:r>
      <w:proofErr w:type="spellEnd"/>
      <w:r w:rsidR="00D934AF" w:rsidRPr="00CD48F9">
        <w:rPr>
          <w:lang w:val="ro-RO"/>
        </w:rPr>
        <w:t xml:space="preserve"> </w:t>
      </w:r>
      <w:r w:rsidR="00F24B10" w:rsidRPr="00CD48F9">
        <w:rPr>
          <w:lang w:val="ro-RO"/>
        </w:rPr>
        <w:t xml:space="preserve">și </w:t>
      </w:r>
      <w:r w:rsidR="00F24B10" w:rsidRPr="00CD48F9">
        <w:rPr>
          <w:b/>
          <w:lang w:val="ro-RO"/>
        </w:rPr>
        <w:t>măsura 2.1.4.</w:t>
      </w:r>
      <w:r w:rsidR="00F24B10" w:rsidRPr="00CD48F9">
        <w:rPr>
          <w:lang w:val="ro-RO"/>
        </w:rPr>
        <w:t xml:space="preserve"> privin</w:t>
      </w:r>
      <w:r w:rsidR="00D033FE" w:rsidRPr="00CD48F9">
        <w:rPr>
          <w:lang w:val="ro-RO"/>
        </w:rPr>
        <w:t>d</w:t>
      </w:r>
      <w:r w:rsidR="00F24B10" w:rsidRPr="00CD48F9">
        <w:rPr>
          <w:lang w:val="ro-RO"/>
        </w:rPr>
        <w:t xml:space="preserve"> d</w:t>
      </w:r>
      <w:r w:rsidR="00D934AF" w:rsidRPr="00CD48F9">
        <w:rPr>
          <w:lang w:val="ro-RO"/>
        </w:rPr>
        <w:t xml:space="preserve">ezvoltarea unui mecanism </w:t>
      </w:r>
      <w:proofErr w:type="spellStart"/>
      <w:r w:rsidR="00D934AF" w:rsidRPr="00CD48F9">
        <w:rPr>
          <w:lang w:val="ro-RO"/>
        </w:rPr>
        <w:t>instituţional</w:t>
      </w:r>
      <w:proofErr w:type="spellEnd"/>
      <w:r w:rsidR="00D934AF" w:rsidRPr="00CD48F9">
        <w:rPr>
          <w:lang w:val="ro-RO"/>
        </w:rPr>
        <w:t xml:space="preserve"> de evaluare ex-post a incidentelor de integritate</w:t>
      </w:r>
      <w:r w:rsidR="00F24B10" w:rsidRPr="00CD48F9">
        <w:rPr>
          <w:lang w:val="ro-RO"/>
        </w:rPr>
        <w:t>,</w:t>
      </w:r>
      <w:r w:rsidR="00D934AF" w:rsidRPr="00CD48F9">
        <w:rPr>
          <w:u w:val="single"/>
          <w:lang w:val="ro-RO"/>
        </w:rPr>
        <w:t xml:space="preserve"> </w:t>
      </w:r>
      <w:r w:rsidR="00D934AF" w:rsidRPr="00CD48F9">
        <w:rPr>
          <w:lang w:val="ro-RO"/>
        </w:rPr>
        <w:t>au</w:t>
      </w:r>
      <w:r w:rsidR="001126DF" w:rsidRPr="00CD48F9">
        <w:rPr>
          <w:lang w:val="ro-RO"/>
        </w:rPr>
        <w:t xml:space="preserve"> fost implementat</w:t>
      </w:r>
      <w:r w:rsidR="00D934AF" w:rsidRPr="00CD48F9">
        <w:rPr>
          <w:lang w:val="ro-RO"/>
        </w:rPr>
        <w:t>e</w:t>
      </w:r>
      <w:r w:rsidR="001126DF" w:rsidRPr="00CD48F9">
        <w:rPr>
          <w:lang w:val="ro-RO"/>
        </w:rPr>
        <w:t xml:space="preserve"> </w:t>
      </w:r>
      <w:r w:rsidR="00C06B6D" w:rsidRPr="00CD48F9">
        <w:rPr>
          <w:lang w:val="ro-RO"/>
        </w:rPr>
        <w:t>prin</w:t>
      </w:r>
      <w:r w:rsidR="001126DF" w:rsidRPr="00CD48F9">
        <w:rPr>
          <w:lang w:val="ro-RO"/>
        </w:rPr>
        <w:t xml:space="preserve"> adoptarea H</w:t>
      </w:r>
      <w:r w:rsidR="003043DD" w:rsidRPr="00CD48F9">
        <w:rPr>
          <w:lang w:val="ro-RO"/>
        </w:rPr>
        <w:t xml:space="preserve">G </w:t>
      </w:r>
      <w:r w:rsidR="001126DF" w:rsidRPr="00CD48F9">
        <w:rPr>
          <w:lang w:val="ro-RO"/>
        </w:rPr>
        <w:t>nr. 599</w:t>
      </w:r>
      <w:r w:rsidR="006B1B62" w:rsidRPr="00CD48F9">
        <w:rPr>
          <w:lang w:val="ro-RO"/>
        </w:rPr>
        <w:t>/02.08.</w:t>
      </w:r>
      <w:r w:rsidR="001126DF" w:rsidRPr="00CD48F9">
        <w:rPr>
          <w:lang w:val="ro-RO"/>
        </w:rPr>
        <w:t>2018</w:t>
      </w:r>
      <w:r w:rsidR="001126DF" w:rsidRPr="00CD48F9">
        <w:rPr>
          <w:rStyle w:val="FootnoteReference"/>
          <w:lang w:val="ro-RO"/>
        </w:rPr>
        <w:footnoteReference w:id="16"/>
      </w:r>
      <w:r w:rsidR="001D573B" w:rsidRPr="00CD48F9">
        <w:rPr>
          <w:lang w:val="ro-RO"/>
        </w:rPr>
        <w:t>. Actul normativ</w:t>
      </w:r>
      <w:r w:rsidR="001126DF" w:rsidRPr="00CD48F9">
        <w:rPr>
          <w:lang w:val="ro-RO"/>
        </w:rPr>
        <w:t xml:space="preserve"> constituie premisa actualizării la doi ani a planurilor de integritate</w:t>
      </w:r>
      <w:r w:rsidR="001D573B" w:rsidRPr="00CD48F9">
        <w:rPr>
          <w:lang w:val="ro-RO"/>
        </w:rPr>
        <w:t xml:space="preserve">. </w:t>
      </w:r>
      <w:r w:rsidR="00F24B10" w:rsidRPr="00CD48F9">
        <w:rPr>
          <w:lang w:val="ro-RO"/>
        </w:rPr>
        <w:t>M</w:t>
      </w:r>
      <w:r w:rsidR="0086020D" w:rsidRPr="00CD48F9">
        <w:rPr>
          <w:lang w:val="ro-RO"/>
        </w:rPr>
        <w:t>etodologii</w:t>
      </w:r>
      <w:r w:rsidR="00F24B10" w:rsidRPr="00CD48F9">
        <w:rPr>
          <w:lang w:val="ro-RO"/>
        </w:rPr>
        <w:t>le prevăzute în HG nr. 599/2018</w:t>
      </w:r>
      <w:r w:rsidR="0086020D" w:rsidRPr="00CD48F9">
        <w:rPr>
          <w:lang w:val="ro-RO"/>
        </w:rPr>
        <w:t xml:space="preserve"> cuprind norme privind domeniul de aplicare </w:t>
      </w:r>
      <w:proofErr w:type="spellStart"/>
      <w:r w:rsidR="0086020D" w:rsidRPr="00CD48F9">
        <w:rPr>
          <w:lang w:val="ro-RO"/>
        </w:rPr>
        <w:t>şi</w:t>
      </w:r>
      <w:proofErr w:type="spellEnd"/>
      <w:r w:rsidR="0086020D" w:rsidRPr="00CD48F9">
        <w:rPr>
          <w:lang w:val="ro-RO"/>
        </w:rPr>
        <w:t xml:space="preserve"> norme procedurale </w:t>
      </w:r>
      <w:proofErr w:type="spellStart"/>
      <w:r w:rsidR="0086020D" w:rsidRPr="00CD48F9">
        <w:rPr>
          <w:lang w:val="ro-RO"/>
        </w:rPr>
        <w:t>şi</w:t>
      </w:r>
      <w:proofErr w:type="spellEnd"/>
      <w:r w:rsidR="0086020D" w:rsidRPr="00CD48F9">
        <w:rPr>
          <w:lang w:val="ro-RO"/>
        </w:rPr>
        <w:t xml:space="preserve"> </w:t>
      </w:r>
      <w:proofErr w:type="spellStart"/>
      <w:r w:rsidR="0086020D" w:rsidRPr="00CD48F9">
        <w:rPr>
          <w:lang w:val="ro-RO"/>
        </w:rPr>
        <w:t>îşi</w:t>
      </w:r>
      <w:proofErr w:type="spellEnd"/>
      <w:r w:rsidR="0086020D" w:rsidRPr="00CD48F9">
        <w:rPr>
          <w:lang w:val="ro-RO"/>
        </w:rPr>
        <w:t xml:space="preserve"> propun să reprezinte un standard minimal, fiecare </w:t>
      </w:r>
      <w:proofErr w:type="spellStart"/>
      <w:r w:rsidR="0086020D" w:rsidRPr="00CD48F9">
        <w:rPr>
          <w:lang w:val="ro-RO"/>
        </w:rPr>
        <w:t>instituţie</w:t>
      </w:r>
      <w:proofErr w:type="spellEnd"/>
      <w:r w:rsidR="0086020D" w:rsidRPr="00CD48F9">
        <w:rPr>
          <w:lang w:val="ro-RO"/>
        </w:rPr>
        <w:t xml:space="preserve"> având posibilit</w:t>
      </w:r>
      <w:r w:rsidR="006B1B62" w:rsidRPr="00CD48F9">
        <w:rPr>
          <w:lang w:val="ro-RO"/>
        </w:rPr>
        <w:t xml:space="preserve">atea de a le dezvolta </w:t>
      </w:r>
      <w:r w:rsidR="0086020D" w:rsidRPr="00CD48F9">
        <w:rPr>
          <w:lang w:val="ro-RO"/>
        </w:rPr>
        <w:t xml:space="preserve">prin </w:t>
      </w:r>
      <w:proofErr w:type="spellStart"/>
      <w:r w:rsidR="0086020D" w:rsidRPr="00CD48F9">
        <w:rPr>
          <w:lang w:val="ro-RO"/>
        </w:rPr>
        <w:t>legislaţie</w:t>
      </w:r>
      <w:proofErr w:type="spellEnd"/>
      <w:r w:rsidR="0086020D" w:rsidRPr="00CD48F9">
        <w:rPr>
          <w:lang w:val="ro-RO"/>
        </w:rPr>
        <w:t xml:space="preserve"> </w:t>
      </w:r>
      <w:proofErr w:type="spellStart"/>
      <w:r w:rsidR="0086020D" w:rsidRPr="00CD48F9">
        <w:rPr>
          <w:lang w:val="ro-RO"/>
        </w:rPr>
        <w:t>terţiară</w:t>
      </w:r>
      <w:proofErr w:type="spellEnd"/>
      <w:r w:rsidR="0086020D" w:rsidRPr="00CD48F9">
        <w:rPr>
          <w:lang w:val="ro-RO"/>
        </w:rPr>
        <w:t>.</w:t>
      </w:r>
    </w:p>
    <w:p w:rsidR="001126DF" w:rsidRPr="00CD48F9" w:rsidRDefault="00F24B10" w:rsidP="00972E3A">
      <w:pPr>
        <w:spacing w:after="120" w:line="276" w:lineRule="auto"/>
        <w:rPr>
          <w:lang w:val="ro-RO"/>
        </w:rPr>
      </w:pPr>
      <w:r w:rsidRPr="00CD48F9">
        <w:rPr>
          <w:lang w:val="ro-RO"/>
        </w:rPr>
        <w:t xml:space="preserve">Referitor la </w:t>
      </w:r>
      <w:r w:rsidRPr="00CD48F9">
        <w:rPr>
          <w:b/>
          <w:lang w:val="ro-RO"/>
        </w:rPr>
        <w:t>m</w:t>
      </w:r>
      <w:r w:rsidR="003870C8" w:rsidRPr="00CD48F9">
        <w:rPr>
          <w:b/>
          <w:lang w:val="ro-RO"/>
        </w:rPr>
        <w:t xml:space="preserve">ăsura </w:t>
      </w:r>
      <w:r w:rsidRPr="00CD48F9">
        <w:rPr>
          <w:b/>
          <w:lang w:val="ro-RO"/>
        </w:rPr>
        <w:t>2.1.5.</w:t>
      </w:r>
      <w:r w:rsidRPr="00CD48F9">
        <w:rPr>
          <w:lang w:val="ro-RO"/>
        </w:rPr>
        <w:t xml:space="preserve"> privind p</w:t>
      </w:r>
      <w:r w:rsidR="001126DF" w:rsidRPr="00CD48F9">
        <w:rPr>
          <w:lang w:val="ro-RO"/>
        </w:rPr>
        <w:t xml:space="preserve">ublicarea listei incidentelor de integritate </w:t>
      </w:r>
      <w:proofErr w:type="spellStart"/>
      <w:r w:rsidR="001126DF" w:rsidRPr="00CD48F9">
        <w:rPr>
          <w:lang w:val="ro-RO"/>
        </w:rPr>
        <w:t>şi</w:t>
      </w:r>
      <w:proofErr w:type="spellEnd"/>
      <w:r w:rsidR="001126DF" w:rsidRPr="00CD48F9">
        <w:rPr>
          <w:lang w:val="ro-RO"/>
        </w:rPr>
        <w:t xml:space="preserve"> a măsurilor de remediere, alături de rezultatele evaluării SCIM </w:t>
      </w:r>
      <w:proofErr w:type="spellStart"/>
      <w:r w:rsidR="001126DF" w:rsidRPr="00CD48F9">
        <w:rPr>
          <w:lang w:val="ro-RO"/>
        </w:rPr>
        <w:t>şi</w:t>
      </w:r>
      <w:proofErr w:type="spellEnd"/>
      <w:r w:rsidR="001126DF" w:rsidRPr="00CD48F9">
        <w:rPr>
          <w:lang w:val="ro-RO"/>
        </w:rPr>
        <w:t xml:space="preserve"> de indicatorii </w:t>
      </w:r>
      <w:proofErr w:type="spellStart"/>
      <w:r w:rsidR="001126DF" w:rsidRPr="00CD48F9">
        <w:rPr>
          <w:lang w:val="ro-RO"/>
        </w:rPr>
        <w:t>aferenţi</w:t>
      </w:r>
      <w:proofErr w:type="spellEnd"/>
      <w:r w:rsidR="001126DF" w:rsidRPr="00CD48F9">
        <w:rPr>
          <w:lang w:val="ro-RO"/>
        </w:rPr>
        <w:t xml:space="preserve"> fiecărui standard</w:t>
      </w:r>
      <w:r w:rsidRPr="00CD48F9">
        <w:rPr>
          <w:lang w:val="ro-RO"/>
        </w:rPr>
        <w:t xml:space="preserve">, </w:t>
      </w:r>
      <w:r w:rsidR="003870C8" w:rsidRPr="00CD48F9">
        <w:rPr>
          <w:lang w:val="ro-RO"/>
        </w:rPr>
        <w:t>SGG publică anual pe site-ul propriu rapoartele privind controlul intern managerial</w:t>
      </w:r>
      <w:r w:rsidR="003870C8" w:rsidRPr="00CD48F9">
        <w:rPr>
          <w:rStyle w:val="FootnoteReference"/>
          <w:lang w:val="ro-RO"/>
        </w:rPr>
        <w:footnoteReference w:id="17"/>
      </w:r>
      <w:r w:rsidR="00CE6757" w:rsidRPr="00CD48F9">
        <w:rPr>
          <w:lang w:val="ro-RO"/>
        </w:rPr>
        <w:t>,</w:t>
      </w:r>
      <w:r w:rsidR="003870C8" w:rsidRPr="00CD48F9">
        <w:rPr>
          <w:lang w:val="ro-RO"/>
        </w:rPr>
        <w:t xml:space="preserve"> iar MJ solicită tuturor </w:t>
      </w:r>
      <w:proofErr w:type="spellStart"/>
      <w:r w:rsidR="003870C8" w:rsidRPr="00CD48F9">
        <w:rPr>
          <w:lang w:val="ro-RO"/>
        </w:rPr>
        <w:t>instituţiilor</w:t>
      </w:r>
      <w:proofErr w:type="spellEnd"/>
      <w:r w:rsidR="003870C8" w:rsidRPr="00CD48F9">
        <w:rPr>
          <w:lang w:val="ro-RO"/>
        </w:rPr>
        <w:t xml:space="preserve"> și autorităților publice </w:t>
      </w:r>
      <w:proofErr w:type="spellStart"/>
      <w:r w:rsidR="003870C8" w:rsidRPr="00CD48F9">
        <w:rPr>
          <w:lang w:val="ro-RO"/>
        </w:rPr>
        <w:t>situaţia</w:t>
      </w:r>
      <w:proofErr w:type="spellEnd"/>
      <w:r w:rsidR="003870C8" w:rsidRPr="00CD48F9">
        <w:rPr>
          <w:lang w:val="ro-RO"/>
        </w:rPr>
        <w:t xml:space="preserve"> incidentelor de integritate</w:t>
      </w:r>
      <w:r w:rsidR="003870C8" w:rsidRPr="00CD48F9">
        <w:rPr>
          <w:rFonts w:eastAsia="Calibri"/>
          <w:lang w:val="ro-RO"/>
        </w:rPr>
        <w:t xml:space="preserve">, în cazul în care acestea au existat, precum </w:t>
      </w:r>
      <w:proofErr w:type="spellStart"/>
      <w:r w:rsidR="003870C8" w:rsidRPr="00CD48F9">
        <w:rPr>
          <w:rFonts w:eastAsia="Calibri"/>
          <w:lang w:val="ro-RO"/>
        </w:rPr>
        <w:t>şi</w:t>
      </w:r>
      <w:proofErr w:type="spellEnd"/>
      <w:r w:rsidR="003870C8" w:rsidRPr="00CD48F9">
        <w:rPr>
          <w:rFonts w:eastAsia="Calibri"/>
          <w:lang w:val="ro-RO"/>
        </w:rPr>
        <w:t xml:space="preserve"> o prezentare succintă a măsurilor adoptate pentru remedierea aspectelor care au favorizat producerea incidentului</w:t>
      </w:r>
      <w:r w:rsidR="003870C8" w:rsidRPr="00CD48F9">
        <w:rPr>
          <w:lang w:val="ro-RO"/>
        </w:rPr>
        <w:t>.</w:t>
      </w:r>
      <w:r w:rsidR="00087CA6" w:rsidRPr="00CD48F9">
        <w:rPr>
          <w:lang w:val="ro-RO"/>
        </w:rPr>
        <w:t xml:space="preserve"> Lista incidentelor de integritate este inclusă în Raportul de progres al MJ și al structurilor subordonate</w:t>
      </w:r>
      <w:r w:rsidR="006E616C" w:rsidRPr="00CD48F9">
        <w:rPr>
          <w:lang w:val="ro-RO"/>
        </w:rPr>
        <w:t xml:space="preserve"> și publicată pe portalul sna.just.ro</w:t>
      </w:r>
      <w:r w:rsidR="00087CA6" w:rsidRPr="00CD48F9">
        <w:rPr>
          <w:lang w:val="ro-RO"/>
        </w:rPr>
        <w:t>.</w:t>
      </w:r>
      <w:r w:rsidR="006E616C" w:rsidRPr="00CD48F9">
        <w:rPr>
          <w:lang w:val="ro-RO"/>
        </w:rPr>
        <w:t xml:space="preserve"> Lista aferentă anului 2019 se </w:t>
      </w:r>
      <w:r w:rsidR="00CD48F9" w:rsidRPr="00CD48F9">
        <w:rPr>
          <w:lang w:val="ro-RO"/>
        </w:rPr>
        <w:t>re</w:t>
      </w:r>
      <w:r w:rsidR="006E616C" w:rsidRPr="00CD48F9">
        <w:rPr>
          <w:lang w:val="ro-RO"/>
        </w:rPr>
        <w:t xml:space="preserve">găsește </w:t>
      </w:r>
      <w:r w:rsidR="00625FB7" w:rsidRPr="00CD48F9">
        <w:rPr>
          <w:lang w:val="ro-RO"/>
        </w:rPr>
        <w:t>accesând următorul link</w:t>
      </w:r>
      <w:r w:rsidR="00625FB7" w:rsidRPr="00AB4CE4">
        <w:rPr>
          <w:lang w:val="ro-RO"/>
        </w:rPr>
        <w:t>:</w:t>
      </w:r>
      <w:r w:rsidR="00625FB7" w:rsidRPr="00CD48F9">
        <w:rPr>
          <w:lang w:val="ro-RO"/>
        </w:rPr>
        <w:t xml:space="preserve"> </w:t>
      </w:r>
      <w:hyperlink r:id="rId9" w:history="1">
        <w:r w:rsidR="00625FB7" w:rsidRPr="00AB4CE4">
          <w:rPr>
            <w:rStyle w:val="Hyperlink"/>
            <w:lang w:val="ro-RO"/>
          </w:rPr>
          <w:t>http://sna.just.ro/Rapoarte+de+monitorizare</w:t>
        </w:r>
      </w:hyperlink>
      <w:r w:rsidR="00625FB7" w:rsidRPr="00CD48F9">
        <w:rPr>
          <w:lang w:val="ro-RO"/>
        </w:rPr>
        <w:t>.</w:t>
      </w:r>
    </w:p>
    <w:p w:rsidR="006C3292" w:rsidRPr="00CD48F9" w:rsidRDefault="003870C8" w:rsidP="00972E3A">
      <w:pPr>
        <w:spacing w:after="120" w:line="276" w:lineRule="auto"/>
        <w:rPr>
          <w:rFonts w:ascii="Arial" w:eastAsia="Arial" w:hAnsi="Arial" w:cs="Arial"/>
          <w:sz w:val="24"/>
          <w:szCs w:val="24"/>
          <w:lang w:val="ro-RO"/>
        </w:rPr>
      </w:pPr>
      <w:r w:rsidRPr="00CD48F9">
        <w:rPr>
          <w:b/>
          <w:lang w:val="ro-RO"/>
        </w:rPr>
        <w:t>Măsura 2.1.6.</w:t>
      </w:r>
      <w:r w:rsidR="00F24B10" w:rsidRPr="00CD48F9">
        <w:rPr>
          <w:lang w:val="ro-RO"/>
        </w:rPr>
        <w:t xml:space="preserve"> privind i</w:t>
      </w:r>
      <w:r w:rsidRPr="00CD48F9">
        <w:rPr>
          <w:lang w:val="ro-RO"/>
        </w:rPr>
        <w:t xml:space="preserve">mplementarea la nivelul sistemului penitenciar a metodologiei privind organizarea </w:t>
      </w:r>
      <w:proofErr w:type="spellStart"/>
      <w:r w:rsidRPr="00CD48F9">
        <w:rPr>
          <w:lang w:val="ro-RO"/>
        </w:rPr>
        <w:t>şi</w:t>
      </w:r>
      <w:proofErr w:type="spellEnd"/>
      <w:r w:rsidRPr="00CD48F9">
        <w:rPr>
          <w:lang w:val="ro-RO"/>
        </w:rPr>
        <w:t xml:space="preserve"> </w:t>
      </w:r>
      <w:proofErr w:type="spellStart"/>
      <w:r w:rsidRPr="00CD48F9">
        <w:rPr>
          <w:lang w:val="ro-RO"/>
        </w:rPr>
        <w:t>desfăşurarea</w:t>
      </w:r>
      <w:proofErr w:type="spellEnd"/>
      <w:r w:rsidRPr="00CD48F9">
        <w:rPr>
          <w:lang w:val="ro-RO"/>
        </w:rPr>
        <w:t xml:space="preserve"> </w:t>
      </w:r>
      <w:proofErr w:type="spellStart"/>
      <w:r w:rsidRPr="00CD48F9">
        <w:rPr>
          <w:lang w:val="ro-RO"/>
        </w:rPr>
        <w:t>activităţilor</w:t>
      </w:r>
      <w:proofErr w:type="spellEnd"/>
      <w:r w:rsidRPr="00CD48F9">
        <w:rPr>
          <w:lang w:val="ro-RO"/>
        </w:rPr>
        <w:t xml:space="preserve"> de prevenire a </w:t>
      </w:r>
      <w:proofErr w:type="spellStart"/>
      <w:r w:rsidRPr="00CD48F9">
        <w:rPr>
          <w:lang w:val="ro-RO"/>
        </w:rPr>
        <w:t>corupţiei</w:t>
      </w:r>
      <w:proofErr w:type="spellEnd"/>
      <w:r w:rsidRPr="00CD48F9">
        <w:rPr>
          <w:lang w:val="ro-RO"/>
        </w:rPr>
        <w:t xml:space="preserve"> </w:t>
      </w:r>
      <w:r w:rsidR="00F24B10" w:rsidRPr="00CD48F9">
        <w:rPr>
          <w:lang w:val="ro-RO"/>
        </w:rPr>
        <w:t>a</w:t>
      </w:r>
      <w:r w:rsidR="00C06B6D" w:rsidRPr="00CD48F9">
        <w:rPr>
          <w:lang w:val="ro-RO"/>
        </w:rPr>
        <w:t xml:space="preserve"> fost implementată </w:t>
      </w:r>
      <w:r w:rsidR="00C06B6D" w:rsidRPr="00CD48F9">
        <w:rPr>
          <w:lang w:val="ro-RO"/>
        </w:rPr>
        <w:lastRenderedPageBreak/>
        <w:t>în anul 2019,</w:t>
      </w:r>
      <w:r w:rsidR="00F24B10" w:rsidRPr="00CD48F9">
        <w:rPr>
          <w:lang w:val="ro-RO"/>
        </w:rPr>
        <w:t xml:space="preserve"> </w:t>
      </w:r>
      <w:bookmarkStart w:id="13" w:name="_Toc536540421"/>
      <w:bookmarkStart w:id="14" w:name="_Toc3376517"/>
      <w:r w:rsidR="006C3292" w:rsidRPr="00CD48F9">
        <w:rPr>
          <w:lang w:val="ro-RO"/>
        </w:rPr>
        <w:t>în proporție de 100%</w:t>
      </w:r>
      <w:r w:rsidR="00F24B10" w:rsidRPr="00CD48F9">
        <w:rPr>
          <w:lang w:val="ro-RO"/>
        </w:rPr>
        <w:t>,</w:t>
      </w:r>
      <w:r w:rsidR="006C3292" w:rsidRPr="00CD48F9">
        <w:rPr>
          <w:lang w:val="ro-RO"/>
        </w:rPr>
        <w:t xml:space="preserve"> în unitățile subordonate și în aparatul central. În ultimul trimestru al anului 2019, a fost elaborat un proiect de modificare și completare a OMJ nr. 1993/2014 privind organizarea și desfășurarea activităților de prevenire a corupției în cadrul ANP și a unităților subordonate.</w:t>
      </w:r>
    </w:p>
    <w:p w:rsidR="00055BA3" w:rsidRPr="00CD48F9" w:rsidRDefault="003870C8" w:rsidP="00972E3A">
      <w:pPr>
        <w:spacing w:after="120" w:line="276" w:lineRule="auto"/>
        <w:rPr>
          <w:bCs/>
          <w:lang w:val="ro-RO"/>
        </w:rPr>
      </w:pPr>
      <w:r w:rsidRPr="00CD48F9">
        <w:rPr>
          <w:b/>
          <w:bCs/>
          <w:lang w:val="ro-RO"/>
        </w:rPr>
        <w:t>Măsura 2.1.7.</w:t>
      </w:r>
      <w:r w:rsidR="00917EAF" w:rsidRPr="00CD48F9">
        <w:rPr>
          <w:b/>
          <w:bCs/>
          <w:lang w:val="ro-RO"/>
        </w:rPr>
        <w:t xml:space="preserve"> </w:t>
      </w:r>
      <w:r w:rsidR="00917EAF" w:rsidRPr="00CD48F9">
        <w:rPr>
          <w:bCs/>
          <w:lang w:val="ro-RO"/>
        </w:rPr>
        <w:t>privind</w:t>
      </w:r>
      <w:r w:rsidRPr="00CD48F9">
        <w:rPr>
          <w:bCs/>
          <w:lang w:val="ro-RO"/>
        </w:rPr>
        <w:t xml:space="preserve"> </w:t>
      </w:r>
      <w:r w:rsidR="00917EAF" w:rsidRPr="00CD48F9">
        <w:rPr>
          <w:bCs/>
          <w:lang w:val="ro-RO"/>
        </w:rPr>
        <w:t>a</w:t>
      </w:r>
      <w:r w:rsidR="00055BA3" w:rsidRPr="00CD48F9">
        <w:rPr>
          <w:bCs/>
          <w:lang w:val="ro-RO"/>
        </w:rPr>
        <w:t>doptarea/</w:t>
      </w:r>
      <w:r w:rsidRPr="00CD48F9">
        <w:rPr>
          <w:bCs/>
          <w:lang w:val="ro-RO"/>
        </w:rPr>
        <w:t xml:space="preserve">sistematizarea normelor deontologice ale personalului Ministerului </w:t>
      </w:r>
      <w:proofErr w:type="spellStart"/>
      <w:r w:rsidRPr="00CD48F9">
        <w:rPr>
          <w:bCs/>
          <w:lang w:val="ro-RO"/>
        </w:rPr>
        <w:t>Justiţiei</w:t>
      </w:r>
      <w:proofErr w:type="spellEnd"/>
      <w:r w:rsidRPr="00CD48F9">
        <w:rPr>
          <w:bCs/>
          <w:lang w:val="ro-RO"/>
        </w:rPr>
        <w:t xml:space="preserve"> </w:t>
      </w:r>
      <w:proofErr w:type="spellStart"/>
      <w:r w:rsidRPr="00CD48F9">
        <w:rPr>
          <w:bCs/>
          <w:lang w:val="ro-RO"/>
        </w:rPr>
        <w:t>şi</w:t>
      </w:r>
      <w:proofErr w:type="spellEnd"/>
      <w:r w:rsidRPr="00CD48F9">
        <w:rPr>
          <w:bCs/>
          <w:lang w:val="ro-RO"/>
        </w:rPr>
        <w:t xml:space="preserve"> din </w:t>
      </w:r>
      <w:proofErr w:type="spellStart"/>
      <w:r w:rsidRPr="00CD48F9">
        <w:rPr>
          <w:bCs/>
          <w:lang w:val="ro-RO"/>
        </w:rPr>
        <w:t>unităţile</w:t>
      </w:r>
      <w:proofErr w:type="spellEnd"/>
      <w:r w:rsidRPr="00CD48F9">
        <w:rPr>
          <w:bCs/>
          <w:lang w:val="ro-RO"/>
        </w:rPr>
        <w:t xml:space="preserve"> subordonate</w:t>
      </w:r>
      <w:bookmarkEnd w:id="13"/>
      <w:bookmarkEnd w:id="14"/>
      <w:r w:rsidRPr="00CD48F9">
        <w:rPr>
          <w:bCs/>
          <w:lang w:val="ro-RO"/>
        </w:rPr>
        <w:t xml:space="preserve"> </w:t>
      </w:r>
      <w:r w:rsidR="00F10C31" w:rsidRPr="00CD48F9">
        <w:rPr>
          <w:lang w:val="ro-RO"/>
        </w:rPr>
        <w:t xml:space="preserve">a fost implementată în 2018, prin emiterea </w:t>
      </w:r>
      <w:r w:rsidR="00055BA3" w:rsidRPr="00CD48F9">
        <w:rPr>
          <w:lang w:val="ro-RO"/>
        </w:rPr>
        <w:t>Ordinul</w:t>
      </w:r>
      <w:r w:rsidR="00F10C31" w:rsidRPr="00CD48F9">
        <w:rPr>
          <w:lang w:val="ro-RO"/>
        </w:rPr>
        <w:t>ui</w:t>
      </w:r>
      <w:r w:rsidR="00055BA3" w:rsidRPr="00CD48F9">
        <w:rPr>
          <w:lang w:val="ro-RO"/>
        </w:rPr>
        <w:t xml:space="preserve"> nr. 1399</w:t>
      </w:r>
      <w:r w:rsidR="00F10C31" w:rsidRPr="00CD48F9">
        <w:rPr>
          <w:lang w:val="ro-RO"/>
        </w:rPr>
        <w:t>/</w:t>
      </w:r>
      <w:r w:rsidR="00055BA3" w:rsidRPr="00CD48F9">
        <w:rPr>
          <w:lang w:val="ro-RO"/>
        </w:rPr>
        <w:t>2018</w:t>
      </w:r>
      <w:r w:rsidR="00E722E8" w:rsidRPr="00CD48F9">
        <w:rPr>
          <w:rStyle w:val="FootnoteReference"/>
          <w:lang w:val="ro-RO"/>
        </w:rPr>
        <w:footnoteReference w:id="18"/>
      </w:r>
      <w:r w:rsidR="00055BA3" w:rsidRPr="00CD48F9">
        <w:rPr>
          <w:lang w:val="ro-RO"/>
        </w:rPr>
        <w:t xml:space="preserve"> </w:t>
      </w:r>
      <w:r w:rsidR="00F10C31" w:rsidRPr="00CD48F9">
        <w:rPr>
          <w:lang w:val="ro-RO"/>
        </w:rPr>
        <w:t xml:space="preserve">de completare a </w:t>
      </w:r>
      <w:r w:rsidR="00055BA3" w:rsidRPr="00CD48F9">
        <w:rPr>
          <w:lang w:val="ro-RO"/>
        </w:rPr>
        <w:t>Regulamentul</w:t>
      </w:r>
      <w:r w:rsidR="00F10C31" w:rsidRPr="00CD48F9">
        <w:rPr>
          <w:lang w:val="ro-RO"/>
        </w:rPr>
        <w:t>ui</w:t>
      </w:r>
      <w:r w:rsidR="00055BA3" w:rsidRPr="00CD48F9">
        <w:rPr>
          <w:lang w:val="ro-RO"/>
        </w:rPr>
        <w:t xml:space="preserve"> de organizare și funcționare a Ministerului Justiției, aprobat prin Ordinul ministrului justiției nr. 120/C/2011</w:t>
      </w:r>
      <w:r w:rsidR="00F10C31" w:rsidRPr="00CD48F9">
        <w:rPr>
          <w:lang w:val="ro-RO"/>
        </w:rPr>
        <w:t>,</w:t>
      </w:r>
      <w:r w:rsidR="00E722E8" w:rsidRPr="00CD48F9">
        <w:rPr>
          <w:lang w:val="ro-RO"/>
        </w:rPr>
        <w:t xml:space="preserve"> în sensul introducerii </w:t>
      </w:r>
      <w:r w:rsidR="00BC0F85" w:rsidRPr="00CD48F9">
        <w:rPr>
          <w:lang w:val="ro-RO"/>
        </w:rPr>
        <w:t>T</w:t>
      </w:r>
      <w:r w:rsidR="00846D6F" w:rsidRPr="00CD48F9">
        <w:rPr>
          <w:lang w:val="ro-RO"/>
        </w:rPr>
        <w:t>itlul VI</w:t>
      </w:r>
      <w:r w:rsidR="00846D6F" w:rsidRPr="00CD48F9">
        <w:rPr>
          <w:vertAlign w:val="superscript"/>
          <w:lang w:val="ro-RO"/>
        </w:rPr>
        <w:t>1</w:t>
      </w:r>
      <w:r w:rsidR="00846D6F" w:rsidRPr="00CD48F9">
        <w:rPr>
          <w:lang w:val="ro-RO"/>
        </w:rPr>
        <w:t xml:space="preserve"> „Norme privind conduita personalului”</w:t>
      </w:r>
      <w:r w:rsidR="00055BA3" w:rsidRPr="00CD48F9">
        <w:rPr>
          <w:lang w:val="ro-RO"/>
        </w:rPr>
        <w:t xml:space="preserve">. </w:t>
      </w:r>
      <w:r w:rsidR="00846D6F" w:rsidRPr="00CD48F9">
        <w:rPr>
          <w:lang w:val="ro-RO"/>
        </w:rPr>
        <w:t>Prin articolele introduse (art. 70</w:t>
      </w:r>
      <w:r w:rsidR="00846D6F" w:rsidRPr="00CD48F9">
        <w:rPr>
          <w:vertAlign w:val="superscript"/>
          <w:lang w:val="ro-RO"/>
        </w:rPr>
        <w:t>1</w:t>
      </w:r>
      <w:r w:rsidR="00846D6F" w:rsidRPr="00CD48F9">
        <w:rPr>
          <w:lang w:val="ro-RO"/>
        </w:rPr>
        <w:t xml:space="preserve"> – 70</w:t>
      </w:r>
      <w:r w:rsidR="00846D6F" w:rsidRPr="00CD48F9">
        <w:rPr>
          <w:vertAlign w:val="superscript"/>
          <w:lang w:val="ro-RO"/>
        </w:rPr>
        <w:t>18</w:t>
      </w:r>
      <w:r w:rsidR="00846D6F" w:rsidRPr="00CD48F9">
        <w:rPr>
          <w:lang w:val="ro-RO"/>
        </w:rPr>
        <w:t xml:space="preserve">) </w:t>
      </w:r>
      <w:r w:rsidR="008C0571" w:rsidRPr="00CD48F9">
        <w:rPr>
          <w:lang w:val="ro-RO"/>
        </w:rPr>
        <w:t>sunt reglementat</w:t>
      </w:r>
      <w:r w:rsidR="00846D6F" w:rsidRPr="00CD48F9">
        <w:rPr>
          <w:lang w:val="ro-RO"/>
        </w:rPr>
        <w:t>e principiile</w:t>
      </w:r>
      <w:r w:rsidR="008C0571" w:rsidRPr="00CD48F9">
        <w:rPr>
          <w:lang w:val="ro-RO"/>
        </w:rPr>
        <w:t xml:space="preserve"> care guvernează conduita profesională a personalului din cadrul ministerului precum și oblig</w:t>
      </w:r>
      <w:r w:rsidR="00CD13C3" w:rsidRPr="00CD48F9">
        <w:rPr>
          <w:lang w:val="ro-RO"/>
        </w:rPr>
        <w:t>ațiile pe care acesta trebuie să</w:t>
      </w:r>
      <w:r w:rsidR="008C0571" w:rsidRPr="00CD48F9">
        <w:rPr>
          <w:lang w:val="ro-RO"/>
        </w:rPr>
        <w:t xml:space="preserve"> le respecte în exercitarea atribuțiilor de serviciu.</w:t>
      </w:r>
      <w:r w:rsidR="00846D6F" w:rsidRPr="00CD48F9">
        <w:rPr>
          <w:lang w:val="ro-RO"/>
        </w:rPr>
        <w:t xml:space="preserve"> </w:t>
      </w:r>
      <w:r w:rsidR="00055BA3" w:rsidRPr="00CD48F9">
        <w:rPr>
          <w:lang w:val="ro-RO"/>
        </w:rPr>
        <w:t>Ordinul a fost publicat în Monitorul Oficial, Partea I nr. 383 din 04 mai 2018, dată la care a intrat în vigoare</w:t>
      </w:r>
      <w:r w:rsidR="00714039" w:rsidRPr="00CD48F9">
        <w:rPr>
          <w:lang w:val="ro-RO"/>
        </w:rPr>
        <w:t>.</w:t>
      </w:r>
    </w:p>
    <w:p w:rsidR="00CB3D91" w:rsidRPr="00CD48F9" w:rsidRDefault="00CB3D91" w:rsidP="00972E3A">
      <w:pPr>
        <w:spacing w:after="120" w:line="276" w:lineRule="auto"/>
        <w:rPr>
          <w:lang w:val="ro-RO"/>
        </w:rPr>
      </w:pPr>
      <w:r w:rsidRPr="00CD48F9">
        <w:rPr>
          <w:lang w:val="ro-RO"/>
        </w:rPr>
        <w:t xml:space="preserve">Codul deontologic al personalului de probațiune urmează a fi </w:t>
      </w:r>
      <w:r w:rsidR="00C06B6D" w:rsidRPr="00CD48F9">
        <w:rPr>
          <w:lang w:val="ro-RO"/>
        </w:rPr>
        <w:t>revizuit și aprobat în anul 2020</w:t>
      </w:r>
      <w:r w:rsidRPr="00CD48F9">
        <w:rPr>
          <w:lang w:val="ro-RO"/>
        </w:rPr>
        <w:t>, ulterior adoptării legii privind statutul personalului de probațiune.</w:t>
      </w:r>
      <w:r w:rsidR="007B0F4D" w:rsidRPr="00CD48F9">
        <w:rPr>
          <w:lang w:val="ro-RO"/>
        </w:rPr>
        <w:t xml:space="preserve"> Normele deontologice</w:t>
      </w:r>
      <w:r w:rsidR="004D24EB" w:rsidRPr="00CD48F9">
        <w:rPr>
          <w:lang w:val="ro-RO"/>
        </w:rPr>
        <w:t xml:space="preserve"> aplicabile funcționarilor publici și personalului contractual sunt cuprinse în OUG nr. 57/2019 privind Codul administrativ, cu modificările și completările ulterioare.</w:t>
      </w:r>
      <w:r w:rsidRPr="00CD48F9">
        <w:rPr>
          <w:lang w:val="ro-RO"/>
        </w:rPr>
        <w:t xml:space="preserve"> </w:t>
      </w:r>
    </w:p>
    <w:p w:rsidR="00CF7B04" w:rsidRPr="00CD48F9" w:rsidRDefault="00CF7B04" w:rsidP="00972E3A">
      <w:pPr>
        <w:spacing w:after="120" w:line="276" w:lineRule="auto"/>
        <w:rPr>
          <w:lang w:val="ro-RO"/>
        </w:rPr>
      </w:pPr>
      <w:r w:rsidRPr="00CD48F9">
        <w:rPr>
          <w:lang w:val="ro-RO"/>
        </w:rPr>
        <w:t xml:space="preserve">La nivelul Institutului </w:t>
      </w:r>
      <w:proofErr w:type="spellStart"/>
      <w:r w:rsidRPr="00CD48F9">
        <w:rPr>
          <w:lang w:val="ro-RO"/>
        </w:rPr>
        <w:t>Naţional</w:t>
      </w:r>
      <w:proofErr w:type="spellEnd"/>
      <w:r w:rsidRPr="00CD48F9">
        <w:rPr>
          <w:lang w:val="ro-RO"/>
        </w:rPr>
        <w:t xml:space="preserve"> de Expertize Criminalistice (INEC) a fost implementat Codul de etică </w:t>
      </w:r>
      <w:proofErr w:type="spellStart"/>
      <w:r w:rsidRPr="00CD48F9">
        <w:rPr>
          <w:lang w:val="ro-RO"/>
        </w:rPr>
        <w:t>şi</w:t>
      </w:r>
      <w:proofErr w:type="spellEnd"/>
      <w:r w:rsidRPr="00CD48F9">
        <w:rPr>
          <w:lang w:val="ro-RO"/>
        </w:rPr>
        <w:t xml:space="preserve"> </w:t>
      </w:r>
      <w:r w:rsidR="00845387" w:rsidRPr="00CD48F9">
        <w:rPr>
          <w:lang w:val="ro-RO"/>
        </w:rPr>
        <w:t xml:space="preserve">integritate al </w:t>
      </w:r>
      <w:proofErr w:type="spellStart"/>
      <w:r w:rsidR="00845387" w:rsidRPr="00CD48F9">
        <w:rPr>
          <w:lang w:val="ro-RO"/>
        </w:rPr>
        <w:t>angajaţilor</w:t>
      </w:r>
      <w:proofErr w:type="spellEnd"/>
      <w:r w:rsidR="00845387" w:rsidRPr="00CD48F9">
        <w:rPr>
          <w:lang w:val="ro-RO"/>
        </w:rPr>
        <w:t xml:space="preserve"> INEC, fiind adus la cunoștința angajaților</w:t>
      </w:r>
      <w:r w:rsidR="00C06B6D" w:rsidRPr="00CD48F9">
        <w:rPr>
          <w:lang w:val="ro-RO"/>
        </w:rPr>
        <w:t>,</w:t>
      </w:r>
      <w:r w:rsidR="00845387" w:rsidRPr="00CD48F9">
        <w:rPr>
          <w:lang w:val="ro-RO"/>
        </w:rPr>
        <w:t xml:space="preserve"> sub semnătură.</w:t>
      </w:r>
      <w:r w:rsidRPr="00CD48F9">
        <w:rPr>
          <w:lang w:val="ro-RO"/>
        </w:rPr>
        <w:t xml:space="preserve">   </w:t>
      </w:r>
    </w:p>
    <w:p w:rsidR="00C06B6D" w:rsidRPr="00CD48F9" w:rsidRDefault="00477297" w:rsidP="00972E3A">
      <w:pPr>
        <w:pStyle w:val="Title"/>
        <w:spacing w:before="0" w:after="120" w:line="276" w:lineRule="auto"/>
        <w:jc w:val="both"/>
        <w:rPr>
          <w:rFonts w:ascii="Trebuchet MS" w:eastAsia="MS Mincho" w:hAnsi="Trebuchet MS"/>
          <w:b w:val="0"/>
          <w:bCs w:val="0"/>
          <w:kern w:val="0"/>
          <w:sz w:val="22"/>
          <w:szCs w:val="22"/>
          <w:lang w:val="ro-RO"/>
        </w:rPr>
      </w:pPr>
      <w:bookmarkStart w:id="15" w:name="_Toc536540422"/>
      <w:bookmarkStart w:id="16" w:name="_Toc3376518"/>
      <w:r w:rsidRPr="00CD48F9">
        <w:rPr>
          <w:rFonts w:ascii="Trebuchet MS" w:eastAsia="MS Mincho" w:hAnsi="Trebuchet MS"/>
          <w:bCs w:val="0"/>
          <w:kern w:val="0"/>
          <w:sz w:val="22"/>
          <w:szCs w:val="22"/>
          <w:lang w:val="ro-RO"/>
        </w:rPr>
        <w:t>Măsura 2.1.8.</w:t>
      </w:r>
      <w:r w:rsidRPr="00CD48F9">
        <w:rPr>
          <w:rFonts w:ascii="Trebuchet MS" w:eastAsia="MS Mincho" w:hAnsi="Trebuchet MS"/>
          <w:b w:val="0"/>
          <w:bCs w:val="0"/>
          <w:kern w:val="0"/>
          <w:sz w:val="22"/>
          <w:szCs w:val="22"/>
          <w:lang w:val="ro-RO"/>
        </w:rPr>
        <w:t xml:space="preserve"> </w:t>
      </w:r>
      <w:r w:rsidR="00917EAF" w:rsidRPr="00CD48F9">
        <w:rPr>
          <w:rFonts w:ascii="Trebuchet MS" w:eastAsia="MS Mincho" w:hAnsi="Trebuchet MS"/>
          <w:b w:val="0"/>
          <w:bCs w:val="0"/>
          <w:kern w:val="0"/>
          <w:sz w:val="22"/>
          <w:szCs w:val="22"/>
          <w:lang w:val="ro-RO"/>
        </w:rPr>
        <w:t>privind p</w:t>
      </w:r>
      <w:r w:rsidR="003043DD" w:rsidRPr="00CD48F9">
        <w:rPr>
          <w:rFonts w:ascii="Trebuchet MS" w:eastAsia="MS Mincho" w:hAnsi="Trebuchet MS"/>
          <w:b w:val="0"/>
          <w:bCs w:val="0"/>
          <w:kern w:val="0"/>
          <w:sz w:val="22"/>
          <w:szCs w:val="22"/>
          <w:lang w:val="ro-RO"/>
        </w:rPr>
        <w:t xml:space="preserve">lanificarea multianuală a misiunilor de audit intern </w:t>
      </w:r>
      <w:bookmarkStart w:id="17" w:name="_Toc536540423"/>
      <w:bookmarkStart w:id="18" w:name="_Toc3376519"/>
      <w:bookmarkEnd w:id="15"/>
      <w:bookmarkEnd w:id="16"/>
      <w:r w:rsidRPr="00CD48F9">
        <w:rPr>
          <w:rFonts w:ascii="Trebuchet MS" w:eastAsia="MS Mincho" w:hAnsi="Trebuchet MS"/>
          <w:b w:val="0"/>
          <w:bCs w:val="0"/>
          <w:kern w:val="0"/>
          <w:sz w:val="22"/>
          <w:szCs w:val="22"/>
          <w:lang w:val="ro-RO"/>
        </w:rPr>
        <w:t>a fost implement</w:t>
      </w:r>
      <w:r w:rsidR="001534C9" w:rsidRPr="00CD48F9">
        <w:rPr>
          <w:rFonts w:ascii="Trebuchet MS" w:eastAsia="MS Mincho" w:hAnsi="Trebuchet MS"/>
          <w:b w:val="0"/>
          <w:bCs w:val="0"/>
          <w:kern w:val="0"/>
          <w:sz w:val="22"/>
          <w:szCs w:val="22"/>
          <w:lang w:val="ro-RO"/>
        </w:rPr>
        <w:t xml:space="preserve">ată </w:t>
      </w:r>
      <w:r w:rsidR="00917EAF" w:rsidRPr="00CD48F9">
        <w:rPr>
          <w:rFonts w:ascii="Trebuchet MS" w:eastAsia="MS Mincho" w:hAnsi="Trebuchet MS"/>
          <w:b w:val="0"/>
          <w:bCs w:val="0"/>
          <w:kern w:val="0"/>
          <w:sz w:val="22"/>
          <w:szCs w:val="22"/>
          <w:lang w:val="ro-RO"/>
        </w:rPr>
        <w:t>încă din</w:t>
      </w:r>
      <w:r w:rsidR="001534C9" w:rsidRPr="00CD48F9">
        <w:rPr>
          <w:rFonts w:ascii="Trebuchet MS" w:eastAsia="MS Mincho" w:hAnsi="Trebuchet MS"/>
          <w:b w:val="0"/>
          <w:bCs w:val="0"/>
          <w:kern w:val="0"/>
          <w:sz w:val="22"/>
          <w:szCs w:val="22"/>
          <w:lang w:val="ro-RO"/>
        </w:rPr>
        <w:t xml:space="preserve"> anul 2017</w:t>
      </w:r>
      <w:r w:rsidR="00917EAF" w:rsidRPr="00CD48F9">
        <w:rPr>
          <w:rFonts w:ascii="Trebuchet MS" w:eastAsia="MS Mincho" w:hAnsi="Trebuchet MS"/>
          <w:b w:val="0"/>
          <w:bCs w:val="0"/>
          <w:kern w:val="0"/>
          <w:sz w:val="22"/>
          <w:szCs w:val="22"/>
          <w:lang w:val="ro-RO"/>
        </w:rPr>
        <w:t>,</w:t>
      </w:r>
      <w:r w:rsidRPr="00CD48F9">
        <w:rPr>
          <w:rFonts w:ascii="Trebuchet MS" w:eastAsia="MS Mincho" w:hAnsi="Trebuchet MS"/>
          <w:b w:val="0"/>
          <w:bCs w:val="0"/>
          <w:kern w:val="0"/>
          <w:sz w:val="22"/>
          <w:szCs w:val="22"/>
          <w:lang w:val="ro-RO"/>
        </w:rPr>
        <w:t xml:space="preserve"> prin elaborarea </w:t>
      </w:r>
      <w:proofErr w:type="spellStart"/>
      <w:r w:rsidRPr="00CD48F9">
        <w:rPr>
          <w:rFonts w:ascii="Trebuchet MS" w:eastAsia="MS Mincho" w:hAnsi="Trebuchet MS"/>
          <w:b w:val="0"/>
          <w:bCs w:val="0"/>
          <w:kern w:val="0"/>
          <w:sz w:val="22"/>
          <w:szCs w:val="22"/>
          <w:lang w:val="ro-RO"/>
        </w:rPr>
        <w:t>şi</w:t>
      </w:r>
      <w:proofErr w:type="spellEnd"/>
      <w:r w:rsidRPr="00CD48F9">
        <w:rPr>
          <w:rFonts w:ascii="Trebuchet MS" w:eastAsia="MS Mincho" w:hAnsi="Trebuchet MS"/>
          <w:b w:val="0"/>
          <w:bCs w:val="0"/>
          <w:kern w:val="0"/>
          <w:sz w:val="22"/>
          <w:szCs w:val="22"/>
          <w:lang w:val="ro-RO"/>
        </w:rPr>
        <w:t xml:space="preserve"> aplicarea Instrucțiunii de Lucru IL 33-01 Planificarea </w:t>
      </w:r>
      <w:proofErr w:type="spellStart"/>
      <w:r w:rsidRPr="00CD48F9">
        <w:rPr>
          <w:rFonts w:ascii="Trebuchet MS" w:eastAsia="MS Mincho" w:hAnsi="Trebuchet MS"/>
          <w:b w:val="0"/>
          <w:bCs w:val="0"/>
          <w:kern w:val="0"/>
          <w:sz w:val="22"/>
          <w:szCs w:val="22"/>
          <w:lang w:val="ro-RO"/>
        </w:rPr>
        <w:t>activităţii</w:t>
      </w:r>
      <w:proofErr w:type="spellEnd"/>
      <w:r w:rsidRPr="00CD48F9">
        <w:rPr>
          <w:rFonts w:ascii="Trebuchet MS" w:eastAsia="MS Mincho" w:hAnsi="Trebuchet MS"/>
          <w:b w:val="0"/>
          <w:bCs w:val="0"/>
          <w:kern w:val="0"/>
          <w:sz w:val="22"/>
          <w:szCs w:val="22"/>
          <w:lang w:val="ro-RO"/>
        </w:rPr>
        <w:t xml:space="preserve"> de audit public intern” care include </w:t>
      </w:r>
      <w:proofErr w:type="spellStart"/>
      <w:r w:rsidRPr="00CD48F9">
        <w:rPr>
          <w:rFonts w:ascii="Trebuchet MS" w:eastAsia="MS Mincho" w:hAnsi="Trebuchet MS"/>
          <w:b w:val="0"/>
          <w:bCs w:val="0"/>
          <w:kern w:val="0"/>
          <w:sz w:val="22"/>
          <w:szCs w:val="22"/>
          <w:lang w:val="ro-RO"/>
        </w:rPr>
        <w:t>şi</w:t>
      </w:r>
      <w:proofErr w:type="spellEnd"/>
      <w:r w:rsidRPr="00CD48F9">
        <w:rPr>
          <w:rFonts w:ascii="Trebuchet MS" w:eastAsia="MS Mincho" w:hAnsi="Trebuchet MS"/>
          <w:b w:val="0"/>
          <w:bCs w:val="0"/>
          <w:kern w:val="0"/>
          <w:sz w:val="22"/>
          <w:szCs w:val="22"/>
          <w:lang w:val="ro-RO"/>
        </w:rPr>
        <w:t xml:space="preserve"> formularul F-IL-33-01-09 „Selectarea misiunilor de audit intern”.</w:t>
      </w:r>
      <w:bookmarkEnd w:id="17"/>
      <w:bookmarkEnd w:id="18"/>
      <w:r w:rsidR="00917EAF" w:rsidRPr="00CD48F9">
        <w:rPr>
          <w:rFonts w:ascii="Trebuchet MS" w:eastAsia="MS Mincho" w:hAnsi="Trebuchet MS"/>
          <w:b w:val="0"/>
          <w:bCs w:val="0"/>
          <w:kern w:val="0"/>
          <w:sz w:val="22"/>
          <w:szCs w:val="22"/>
          <w:lang w:val="ro-RO"/>
        </w:rPr>
        <w:t xml:space="preserve"> </w:t>
      </w:r>
      <w:r w:rsidR="00F10C31" w:rsidRPr="00CD48F9">
        <w:rPr>
          <w:rFonts w:ascii="Trebuchet MS" w:eastAsia="MS Mincho" w:hAnsi="Trebuchet MS"/>
          <w:b w:val="0"/>
          <w:bCs w:val="0"/>
          <w:kern w:val="0"/>
          <w:sz w:val="22"/>
          <w:szCs w:val="22"/>
          <w:lang w:val="ro-RO"/>
        </w:rPr>
        <w:t xml:space="preserve">Planificarea misiunilor de audit în anul 2019, de către </w:t>
      </w:r>
      <w:r w:rsidR="00DB5192" w:rsidRPr="00CD48F9">
        <w:rPr>
          <w:rFonts w:ascii="Trebuchet MS" w:eastAsia="MS Mincho" w:hAnsi="Trebuchet MS"/>
          <w:b w:val="0"/>
          <w:bCs w:val="0"/>
          <w:kern w:val="0"/>
          <w:sz w:val="22"/>
          <w:szCs w:val="22"/>
          <w:lang w:val="ro-RO"/>
        </w:rPr>
        <w:t>Serviciul de Audit Public Intern</w:t>
      </w:r>
      <w:r w:rsidR="00F10C31" w:rsidRPr="00CD48F9">
        <w:rPr>
          <w:rFonts w:ascii="Trebuchet MS" w:eastAsia="MS Mincho" w:hAnsi="Trebuchet MS"/>
          <w:b w:val="0"/>
          <w:bCs w:val="0"/>
          <w:kern w:val="0"/>
          <w:sz w:val="22"/>
          <w:szCs w:val="22"/>
          <w:lang w:val="ro-RO"/>
        </w:rPr>
        <w:t xml:space="preserve">, a fost realizată prin elaborarea Planului anual de audit intern </w:t>
      </w:r>
      <w:r w:rsidR="00AC0184" w:rsidRPr="00CD48F9">
        <w:rPr>
          <w:rFonts w:ascii="Trebuchet MS" w:eastAsia="MS Mincho" w:hAnsi="Trebuchet MS"/>
          <w:b w:val="0"/>
          <w:bCs w:val="0"/>
          <w:kern w:val="0"/>
          <w:sz w:val="22"/>
          <w:szCs w:val="22"/>
          <w:lang w:val="ro-RO"/>
        </w:rPr>
        <w:t>înregistrat cu</w:t>
      </w:r>
      <w:r w:rsidR="00917EAF" w:rsidRPr="00CD48F9">
        <w:rPr>
          <w:rFonts w:ascii="Trebuchet MS" w:eastAsia="MS Mincho" w:hAnsi="Trebuchet MS"/>
          <w:b w:val="0"/>
          <w:bCs w:val="0"/>
          <w:kern w:val="0"/>
          <w:sz w:val="22"/>
          <w:szCs w:val="22"/>
          <w:lang w:val="ro-RO"/>
        </w:rPr>
        <w:t xml:space="preserve"> </w:t>
      </w:r>
      <w:r w:rsidR="00AC0184" w:rsidRPr="00CD48F9">
        <w:rPr>
          <w:rFonts w:ascii="Trebuchet MS" w:eastAsia="MS Mincho" w:hAnsi="Trebuchet MS"/>
          <w:b w:val="0"/>
          <w:bCs w:val="0"/>
          <w:kern w:val="0"/>
          <w:sz w:val="22"/>
          <w:szCs w:val="22"/>
          <w:lang w:val="ro-RO"/>
        </w:rPr>
        <w:t xml:space="preserve">nr. 83/80996/22.11.2018, aprobat de conducerea MJ la data de 27.11.2018. </w:t>
      </w:r>
    </w:p>
    <w:p w:rsidR="00AC0184" w:rsidRPr="00CD48F9" w:rsidRDefault="00AC0184" w:rsidP="00972E3A">
      <w:pPr>
        <w:pStyle w:val="Title"/>
        <w:spacing w:before="0" w:after="120" w:line="276" w:lineRule="auto"/>
        <w:jc w:val="both"/>
        <w:rPr>
          <w:rFonts w:ascii="Trebuchet MS" w:eastAsia="MS Mincho" w:hAnsi="Trebuchet MS"/>
          <w:b w:val="0"/>
          <w:bCs w:val="0"/>
          <w:kern w:val="0"/>
          <w:sz w:val="22"/>
          <w:szCs w:val="22"/>
          <w:lang w:val="ro-RO"/>
        </w:rPr>
      </w:pPr>
      <w:r w:rsidRPr="00CD48F9">
        <w:rPr>
          <w:rFonts w:ascii="Trebuchet MS" w:eastAsia="MS Mincho" w:hAnsi="Trebuchet MS"/>
          <w:b w:val="0"/>
          <w:bCs w:val="0"/>
          <w:kern w:val="0"/>
          <w:sz w:val="22"/>
          <w:szCs w:val="22"/>
          <w:lang w:val="ro-RO"/>
        </w:rPr>
        <w:t>În anul 2019 au fost planificate 37 de misiuni de audit și au fost realizate 38 de misiuni.</w:t>
      </w:r>
    </w:p>
    <w:p w:rsidR="008D30FB" w:rsidRPr="00CD48F9" w:rsidRDefault="00CB03C6" w:rsidP="00972E3A">
      <w:pPr>
        <w:pStyle w:val="Title"/>
        <w:spacing w:before="0" w:after="120" w:line="276" w:lineRule="auto"/>
        <w:jc w:val="both"/>
        <w:rPr>
          <w:rFonts w:ascii="Trebuchet MS" w:hAnsi="Trebuchet MS"/>
          <w:sz w:val="22"/>
          <w:szCs w:val="22"/>
          <w:lang w:val="ro-RO"/>
        </w:rPr>
      </w:pPr>
      <w:bookmarkStart w:id="19" w:name="_Toc3376520"/>
      <w:r w:rsidRPr="00CD48F9">
        <w:rPr>
          <w:rFonts w:ascii="Trebuchet MS" w:hAnsi="Trebuchet MS"/>
          <w:sz w:val="22"/>
          <w:szCs w:val="22"/>
          <w:lang w:val="ro-RO"/>
        </w:rPr>
        <w:t>4</w:t>
      </w:r>
      <w:r w:rsidR="008D30FB" w:rsidRPr="00CD48F9">
        <w:rPr>
          <w:rFonts w:ascii="Trebuchet MS" w:hAnsi="Trebuchet MS"/>
          <w:sz w:val="22"/>
          <w:szCs w:val="22"/>
          <w:lang w:val="ro-RO"/>
        </w:rPr>
        <w:t>.2. Creșterea eficienței măsurilor preventive anticorupție prin remedierea lacunelor și a inconsistențelor legislative cu privire la protecția avertizorului de integritate și interdicțiile post-angajare (</w:t>
      </w:r>
      <w:proofErr w:type="spellStart"/>
      <w:r w:rsidR="008D30FB" w:rsidRPr="00CD48F9">
        <w:rPr>
          <w:rFonts w:ascii="Trebuchet MS" w:hAnsi="Trebuchet MS"/>
          <w:i/>
          <w:sz w:val="22"/>
          <w:szCs w:val="22"/>
          <w:lang w:val="ro-RO"/>
        </w:rPr>
        <w:t>pantouflage</w:t>
      </w:r>
      <w:r w:rsidR="008D30FB" w:rsidRPr="00CD48F9">
        <w:rPr>
          <w:rFonts w:ascii="Trebuchet MS" w:hAnsi="Trebuchet MS"/>
          <w:sz w:val="22"/>
          <w:szCs w:val="22"/>
          <w:lang w:val="ro-RO"/>
        </w:rPr>
        <w:t>-ul</w:t>
      </w:r>
      <w:proofErr w:type="spellEnd"/>
      <w:r w:rsidR="008D30FB" w:rsidRPr="00CD48F9">
        <w:rPr>
          <w:rFonts w:ascii="Trebuchet MS" w:hAnsi="Trebuchet MS"/>
          <w:sz w:val="22"/>
          <w:szCs w:val="22"/>
          <w:lang w:val="ro-RO"/>
        </w:rPr>
        <w:t>)</w:t>
      </w:r>
      <w:r w:rsidR="002F1DFC" w:rsidRPr="00CD48F9">
        <w:rPr>
          <w:rFonts w:ascii="Trebuchet MS" w:hAnsi="Trebuchet MS"/>
          <w:sz w:val="22"/>
          <w:szCs w:val="22"/>
          <w:lang w:val="ro-RO"/>
        </w:rPr>
        <w:t xml:space="preserve"> </w:t>
      </w:r>
      <w:r w:rsidR="006E5F2C" w:rsidRPr="00CD48F9">
        <w:rPr>
          <w:rFonts w:ascii="Trebuchet MS" w:hAnsi="Trebuchet MS"/>
          <w:sz w:val="22"/>
          <w:szCs w:val="22"/>
          <w:lang w:val="ro-RO"/>
        </w:rPr>
        <w:t>(</w:t>
      </w:r>
      <w:r w:rsidR="002F1DFC" w:rsidRPr="00CD48F9">
        <w:rPr>
          <w:rFonts w:ascii="Trebuchet MS" w:hAnsi="Trebuchet MS"/>
          <w:sz w:val="22"/>
          <w:szCs w:val="22"/>
          <w:lang w:val="ro-RO"/>
        </w:rPr>
        <w:t>Obiectivul specific 2.2</w:t>
      </w:r>
      <w:r w:rsidR="006E5F2C" w:rsidRPr="00CD48F9">
        <w:rPr>
          <w:rFonts w:ascii="Trebuchet MS" w:hAnsi="Trebuchet MS"/>
          <w:sz w:val="22"/>
          <w:szCs w:val="22"/>
          <w:lang w:val="ro-RO"/>
        </w:rPr>
        <w:t>)</w:t>
      </w:r>
      <w:bookmarkEnd w:id="19"/>
    </w:p>
    <w:p w:rsidR="00F00141" w:rsidRPr="00CD48F9" w:rsidRDefault="00917EAF" w:rsidP="00972E3A">
      <w:pPr>
        <w:spacing w:after="120" w:line="276" w:lineRule="auto"/>
        <w:rPr>
          <w:lang w:val="ro-RO"/>
        </w:rPr>
      </w:pPr>
      <w:r w:rsidRPr="00CD48F9">
        <w:rPr>
          <w:b/>
          <w:lang w:val="ro-RO"/>
        </w:rPr>
        <w:t>Măsura 2.2.1.</w:t>
      </w:r>
      <w:r w:rsidRPr="00CD48F9">
        <w:rPr>
          <w:lang w:val="ro-RO"/>
        </w:rPr>
        <w:t xml:space="preserve"> privind e</w:t>
      </w:r>
      <w:r w:rsidR="001C79A3" w:rsidRPr="00CD48F9">
        <w:rPr>
          <w:lang w:val="ro-RO"/>
        </w:rPr>
        <w:t xml:space="preserve">laborarea cadrului normativ secundar </w:t>
      </w:r>
      <w:proofErr w:type="spellStart"/>
      <w:r w:rsidR="001C79A3" w:rsidRPr="00CD48F9">
        <w:rPr>
          <w:lang w:val="ro-RO"/>
        </w:rPr>
        <w:t>şi</w:t>
      </w:r>
      <w:proofErr w:type="spellEnd"/>
      <w:r w:rsidR="001C79A3" w:rsidRPr="00CD48F9">
        <w:rPr>
          <w:lang w:val="ro-RO"/>
        </w:rPr>
        <w:t xml:space="preserve">/sau </w:t>
      </w:r>
      <w:proofErr w:type="spellStart"/>
      <w:r w:rsidR="001C79A3" w:rsidRPr="00CD48F9">
        <w:rPr>
          <w:lang w:val="ro-RO"/>
        </w:rPr>
        <w:t>terţiar</w:t>
      </w:r>
      <w:proofErr w:type="spellEnd"/>
      <w:r w:rsidR="001C79A3" w:rsidRPr="00CD48F9">
        <w:rPr>
          <w:lang w:val="ro-RO"/>
        </w:rPr>
        <w:t xml:space="preserve"> în vederea garantării </w:t>
      </w:r>
      <w:proofErr w:type="spellStart"/>
      <w:r w:rsidR="001C79A3" w:rsidRPr="00CD48F9">
        <w:rPr>
          <w:lang w:val="ro-RO"/>
        </w:rPr>
        <w:t>protecţiei</w:t>
      </w:r>
      <w:proofErr w:type="spellEnd"/>
      <w:r w:rsidR="001C79A3" w:rsidRPr="00CD48F9">
        <w:rPr>
          <w:lang w:val="ro-RO"/>
        </w:rPr>
        <w:t xml:space="preserve"> avertizorilor în interes public</w:t>
      </w:r>
      <w:r w:rsidRPr="00CD48F9">
        <w:rPr>
          <w:lang w:val="ro-RO"/>
        </w:rPr>
        <w:t xml:space="preserve">, precum și </w:t>
      </w:r>
      <w:r w:rsidRPr="00CD48F9">
        <w:rPr>
          <w:b/>
          <w:lang w:val="ro-RO"/>
        </w:rPr>
        <w:t>măsura 2.2.2.</w:t>
      </w:r>
      <w:r w:rsidRPr="00CD48F9">
        <w:rPr>
          <w:lang w:val="ro-RO"/>
        </w:rPr>
        <w:t xml:space="preserve"> privind c</w:t>
      </w:r>
      <w:r w:rsidR="001C79A3" w:rsidRPr="00CD48F9">
        <w:rPr>
          <w:lang w:val="ro-RO"/>
        </w:rPr>
        <w:t xml:space="preserve">ompletarea cadrului normativ prin extinderea ariei de aplicare a </w:t>
      </w:r>
      <w:proofErr w:type="spellStart"/>
      <w:r w:rsidR="001C79A3" w:rsidRPr="00CD48F9">
        <w:rPr>
          <w:lang w:val="ro-RO"/>
        </w:rPr>
        <w:t>interdicţiilor</w:t>
      </w:r>
      <w:proofErr w:type="spellEnd"/>
      <w:r w:rsidR="001C79A3" w:rsidRPr="00CD48F9">
        <w:rPr>
          <w:lang w:val="ro-RO"/>
        </w:rPr>
        <w:t xml:space="preserve"> la migrarea </w:t>
      </w:r>
      <w:proofErr w:type="spellStart"/>
      <w:r w:rsidR="001C79A3" w:rsidRPr="00CD48F9">
        <w:rPr>
          <w:lang w:val="ro-RO"/>
        </w:rPr>
        <w:t>angajaţilor</w:t>
      </w:r>
      <w:proofErr w:type="spellEnd"/>
      <w:r w:rsidR="001C79A3" w:rsidRPr="00CD48F9">
        <w:rPr>
          <w:lang w:val="ro-RO"/>
        </w:rPr>
        <w:t xml:space="preserve"> din sectorul public în cel privat </w:t>
      </w:r>
      <w:r w:rsidRPr="00CD48F9">
        <w:rPr>
          <w:lang w:val="ro-RO"/>
        </w:rPr>
        <w:t>sunt în curs de implementare.</w:t>
      </w:r>
      <w:r w:rsidR="005538F9" w:rsidRPr="00CD48F9">
        <w:rPr>
          <w:lang w:val="ro-RO"/>
        </w:rPr>
        <w:t xml:space="preserve"> În vederea implementării celor două măsuri, p</w:t>
      </w:r>
      <w:r w:rsidR="00597134" w:rsidRPr="00CD48F9">
        <w:rPr>
          <w:lang w:val="ro-RO"/>
        </w:rPr>
        <w:t>rin OMJ nr. 4833/C</w:t>
      </w:r>
      <w:r w:rsidR="00BF5FAC" w:rsidRPr="00CD48F9">
        <w:rPr>
          <w:lang w:val="ro-RO"/>
        </w:rPr>
        <w:t>/2018</w:t>
      </w:r>
      <w:r w:rsidR="00597134" w:rsidRPr="00CD48F9">
        <w:rPr>
          <w:lang w:val="ro-RO"/>
        </w:rPr>
        <w:t xml:space="preserve"> a fost constituit </w:t>
      </w:r>
      <w:r w:rsidR="00597134" w:rsidRPr="00CD48F9">
        <w:rPr>
          <w:i/>
          <w:lang w:val="ro-RO"/>
        </w:rPr>
        <w:t>Grupul de lucru pentru elaborarea unei proceduri privind depunerea, gestionarea și soluționarea sesizărilor formulate în temeiul Legii nr. 571/2004</w:t>
      </w:r>
      <w:r w:rsidR="00F00141" w:rsidRPr="00CD48F9">
        <w:rPr>
          <w:rStyle w:val="FootnoteReference"/>
          <w:lang w:val="ro-RO"/>
        </w:rPr>
        <w:footnoteReference w:id="19"/>
      </w:r>
      <w:r w:rsidR="00F00141" w:rsidRPr="00CD48F9">
        <w:rPr>
          <w:lang w:val="ro-RO"/>
        </w:rPr>
        <w:t xml:space="preserve">, </w:t>
      </w:r>
      <w:r w:rsidR="003C6842" w:rsidRPr="00CD48F9">
        <w:rPr>
          <w:lang w:val="ro-RO"/>
        </w:rPr>
        <w:t>care în cursul anului 2019 a elaborat un prim proiect de completare a R</w:t>
      </w:r>
      <w:r w:rsidR="00625FB7" w:rsidRPr="00CD48F9">
        <w:rPr>
          <w:lang w:val="ro-RO"/>
        </w:rPr>
        <w:t>egulamentului de organizare și funcționare a</w:t>
      </w:r>
      <w:r w:rsidR="003C6842" w:rsidRPr="00CD48F9">
        <w:rPr>
          <w:lang w:val="ro-RO"/>
        </w:rPr>
        <w:t xml:space="preserve"> MJ cu dispoziții relevante</w:t>
      </w:r>
      <w:r w:rsidR="00514C9C" w:rsidRPr="00CD48F9">
        <w:rPr>
          <w:lang w:val="ro-RO"/>
        </w:rPr>
        <w:t>.</w:t>
      </w:r>
      <w:r w:rsidR="003C6842" w:rsidRPr="00CD48F9">
        <w:rPr>
          <w:lang w:val="ro-RO"/>
        </w:rPr>
        <w:t xml:space="preserve"> Activitatea Grupului nu a mai continuat în contextul adoptării,</w:t>
      </w:r>
      <w:r w:rsidR="005538F9" w:rsidRPr="00CD48F9">
        <w:rPr>
          <w:lang w:val="ro-RO"/>
        </w:rPr>
        <w:t xml:space="preserve"> la data de 7 octombrie 2019</w:t>
      </w:r>
      <w:r w:rsidR="003C6842" w:rsidRPr="00CD48F9">
        <w:rPr>
          <w:lang w:val="ro-RO"/>
        </w:rPr>
        <w:t>,</w:t>
      </w:r>
      <w:r w:rsidR="005538F9" w:rsidRPr="00CD48F9">
        <w:rPr>
          <w:lang w:val="ro-RO"/>
        </w:rPr>
        <w:t xml:space="preserve"> a </w:t>
      </w:r>
      <w:r w:rsidR="003C6842" w:rsidRPr="00CD48F9">
        <w:rPr>
          <w:i/>
          <w:lang w:val="ro-RO"/>
        </w:rPr>
        <w:t xml:space="preserve">Directivei </w:t>
      </w:r>
      <w:r w:rsidR="005538F9" w:rsidRPr="00CD48F9">
        <w:rPr>
          <w:i/>
          <w:lang w:val="ro-RO"/>
        </w:rPr>
        <w:t xml:space="preserve">privind protecția persoanelor care raportează încălcări ale </w:t>
      </w:r>
      <w:r w:rsidR="005538F9" w:rsidRPr="00CD48F9">
        <w:rPr>
          <w:i/>
          <w:lang w:val="ro-RO"/>
        </w:rPr>
        <w:lastRenderedPageBreak/>
        <w:t>dreptului Uniunii</w:t>
      </w:r>
      <w:r w:rsidR="005538F9" w:rsidRPr="00CD48F9">
        <w:rPr>
          <w:rStyle w:val="FootnoteReference"/>
          <w:lang w:val="ro-RO"/>
        </w:rPr>
        <w:footnoteReference w:id="20"/>
      </w:r>
      <w:r w:rsidR="00F00141" w:rsidRPr="00CD48F9">
        <w:rPr>
          <w:lang w:val="ro-RO"/>
        </w:rPr>
        <w:t xml:space="preserve">, </w:t>
      </w:r>
      <w:r w:rsidR="005538F9" w:rsidRPr="00CD48F9">
        <w:rPr>
          <w:lang w:val="ro-RO"/>
        </w:rPr>
        <w:t>publicată în Jurnalul Oficial al</w:t>
      </w:r>
      <w:r w:rsidR="00F00141" w:rsidRPr="00CD48F9">
        <w:rPr>
          <w:lang w:val="ro-RO"/>
        </w:rPr>
        <w:t xml:space="preserve"> UE L 305 din 26 noiembrie 2019, MJ </w:t>
      </w:r>
      <w:r w:rsidR="005538F9" w:rsidRPr="00CD48F9">
        <w:rPr>
          <w:lang w:val="ro-RO"/>
        </w:rPr>
        <w:t>p</w:t>
      </w:r>
      <w:r w:rsidR="00F00141" w:rsidRPr="00CD48F9">
        <w:rPr>
          <w:lang w:val="ro-RO"/>
        </w:rPr>
        <w:t>articipând</w:t>
      </w:r>
      <w:r w:rsidR="005538F9" w:rsidRPr="00CD48F9">
        <w:rPr>
          <w:lang w:val="ro-RO"/>
        </w:rPr>
        <w:t xml:space="preserve"> atât prin experții detașați în cadrul RPRO BXL, cât și prin experții din cadrul </w:t>
      </w:r>
      <w:r w:rsidR="00F00141" w:rsidRPr="00CD48F9">
        <w:rPr>
          <w:lang w:val="ro-RO"/>
        </w:rPr>
        <w:t>instituției</w:t>
      </w:r>
      <w:r w:rsidR="005538F9" w:rsidRPr="00CD48F9">
        <w:rPr>
          <w:lang w:val="ro-RO"/>
        </w:rPr>
        <w:t xml:space="preserve"> la negocieri</w:t>
      </w:r>
      <w:r w:rsidR="00F00141" w:rsidRPr="00CD48F9">
        <w:rPr>
          <w:lang w:val="ro-RO"/>
        </w:rPr>
        <w:t>le cu privire la propunerea de d</w:t>
      </w:r>
      <w:r w:rsidR="005538F9" w:rsidRPr="00CD48F9">
        <w:rPr>
          <w:lang w:val="ro-RO"/>
        </w:rPr>
        <w:t>irectivă, ce au avut loc în formatul Grupului de lucru pentru drepturi fundamentale, drepturile cetățenilor și libera circulație a persoanelor (FREMP) din cadrul Consiliului UE</w:t>
      </w:r>
      <w:r w:rsidR="00F00141" w:rsidRPr="00CD48F9">
        <w:rPr>
          <w:lang w:val="ro-RO"/>
        </w:rPr>
        <w:t>. În acest sens subliniem că forma finală a d</w:t>
      </w:r>
      <w:r w:rsidR="005538F9" w:rsidRPr="00CD48F9">
        <w:rPr>
          <w:lang w:val="ro-RO"/>
        </w:rPr>
        <w:t xml:space="preserve">irectivei a fost elaborată sub auspiciile PRES RO, dosarul fiind tratat cu prioritate. </w:t>
      </w:r>
    </w:p>
    <w:p w:rsidR="00F00141" w:rsidRPr="00CD48F9" w:rsidRDefault="00F00141" w:rsidP="00972E3A">
      <w:pPr>
        <w:spacing w:after="120" w:line="276" w:lineRule="auto"/>
        <w:rPr>
          <w:lang w:val="ro-RO"/>
        </w:rPr>
      </w:pPr>
      <w:r w:rsidRPr="00CD48F9">
        <w:rPr>
          <w:lang w:val="ro-RO"/>
        </w:rPr>
        <w:t>În considerarea celor prezentate, d</w:t>
      </w:r>
      <w:r w:rsidR="005538F9" w:rsidRPr="00CD48F9">
        <w:rPr>
          <w:lang w:val="ro-RO"/>
        </w:rPr>
        <w:t>at fiind faptul că M</w:t>
      </w:r>
      <w:r w:rsidRPr="00CD48F9">
        <w:rPr>
          <w:lang w:val="ro-RO"/>
        </w:rPr>
        <w:t>J a avut calitate de inițiator în procesul</w:t>
      </w:r>
      <w:r w:rsidR="005538F9" w:rsidRPr="00CD48F9">
        <w:rPr>
          <w:lang w:val="ro-RO"/>
        </w:rPr>
        <w:t xml:space="preserve"> de elaborare și</w:t>
      </w:r>
      <w:r w:rsidRPr="00CD48F9">
        <w:rPr>
          <w:lang w:val="ro-RO"/>
        </w:rPr>
        <w:t xml:space="preserve"> promovare a Legii </w:t>
      </w:r>
      <w:r w:rsidR="005538F9" w:rsidRPr="00CD48F9">
        <w:rPr>
          <w:lang w:val="ro-RO"/>
        </w:rPr>
        <w:t xml:space="preserve">nr. 571/2004, instituția și-a asumat </w:t>
      </w:r>
      <w:r w:rsidRPr="00CD48F9">
        <w:rPr>
          <w:lang w:val="ro-RO"/>
        </w:rPr>
        <w:t xml:space="preserve">rolul transpunerii </w:t>
      </w:r>
      <w:r w:rsidRPr="00CD48F9">
        <w:rPr>
          <w:i/>
          <w:lang w:val="ro-RO"/>
        </w:rPr>
        <w:t>Directivei (UE) 2019/1937</w:t>
      </w:r>
      <w:r w:rsidR="005538F9" w:rsidRPr="00CD48F9">
        <w:rPr>
          <w:lang w:val="ro-RO"/>
        </w:rPr>
        <w:t xml:space="preserve">, </w:t>
      </w:r>
      <w:r w:rsidR="00D44F95" w:rsidRPr="00CD48F9">
        <w:rPr>
          <w:lang w:val="ro-RO"/>
        </w:rPr>
        <w:t xml:space="preserve">în legislația națională, </w:t>
      </w:r>
      <w:r w:rsidRPr="00CD48F9">
        <w:rPr>
          <w:lang w:val="ro-RO"/>
        </w:rPr>
        <w:t xml:space="preserve">sens în care, prin </w:t>
      </w:r>
      <w:r w:rsidR="00D44F95" w:rsidRPr="00CD48F9">
        <w:rPr>
          <w:lang w:val="ro-RO"/>
        </w:rPr>
        <w:t>OMJ</w:t>
      </w:r>
      <w:r w:rsidRPr="00CD48F9">
        <w:rPr>
          <w:lang w:val="ro-RO"/>
        </w:rPr>
        <w:t xml:space="preserve"> nr. 118/C/13.01.2020 a fost constituit </w:t>
      </w:r>
      <w:r w:rsidRPr="00CD48F9">
        <w:rPr>
          <w:i/>
          <w:lang w:val="ro-RO"/>
        </w:rPr>
        <w:t>Grupul de lucru pentru transpunerea Directivei privind protecția persoanelor care raportează încălcări ale dreptului Uniunii Europene</w:t>
      </w:r>
      <w:r w:rsidRPr="00CD48F9">
        <w:rPr>
          <w:lang w:val="ro-RO"/>
        </w:rPr>
        <w:t>. Componența grupului a fost stabilită potrivit atribuțiilor specifice fiecărui compartiment</w:t>
      </w:r>
      <w:r w:rsidR="00D44F95" w:rsidRPr="00CD48F9">
        <w:rPr>
          <w:lang w:val="ro-RO"/>
        </w:rPr>
        <w:t>, în luna februarie 2020 având loc două întâlniri</w:t>
      </w:r>
      <w:r w:rsidRPr="00CD48F9">
        <w:rPr>
          <w:lang w:val="ro-RO"/>
        </w:rPr>
        <w:t xml:space="preserve">. </w:t>
      </w:r>
    </w:p>
    <w:p w:rsidR="00914CC7" w:rsidRPr="00CD48F9" w:rsidRDefault="00914CC7" w:rsidP="00972E3A">
      <w:pPr>
        <w:spacing w:after="120" w:line="276" w:lineRule="auto"/>
        <w:rPr>
          <w:lang w:val="ro-RO"/>
        </w:rPr>
      </w:pPr>
      <w:r w:rsidRPr="00CD48F9">
        <w:rPr>
          <w:noProof/>
          <w:lang w:val="ro-RO"/>
        </w:rPr>
        <w:t>De asemenea, reprezentanții MJ participă la reuniunile</w:t>
      </w:r>
      <w:r w:rsidR="00AB7AED" w:rsidRPr="00CD48F9">
        <w:rPr>
          <w:noProof/>
          <w:lang w:val="ro-RO"/>
        </w:rPr>
        <w:t xml:space="preserve"> </w:t>
      </w:r>
      <w:r w:rsidR="00AB7AED" w:rsidRPr="00CD48F9">
        <w:rPr>
          <w:i/>
          <w:noProof/>
          <w:lang w:val="ro-RO"/>
        </w:rPr>
        <w:t>G</w:t>
      </w:r>
      <w:r w:rsidRPr="00CD48F9">
        <w:rPr>
          <w:i/>
          <w:noProof/>
          <w:lang w:val="ro-RO"/>
        </w:rPr>
        <w:t>rupului de experți vizând transpunerea Directivei privind protecția persoanelor care raportează încălcări ale dreptului UE – Direcția Generală Justiție și Consumatori din cadrul Comisiei Europene (DG JUST)</w:t>
      </w:r>
      <w:r w:rsidR="00F2702B" w:rsidRPr="00CD48F9">
        <w:rPr>
          <w:i/>
          <w:noProof/>
          <w:lang w:val="ro-RO"/>
        </w:rPr>
        <w:t>.</w:t>
      </w:r>
    </w:p>
    <w:p w:rsidR="00C34376" w:rsidRPr="00CD48F9" w:rsidRDefault="00914CC7" w:rsidP="00972E3A">
      <w:pPr>
        <w:spacing w:after="120" w:line="276" w:lineRule="auto"/>
        <w:rPr>
          <w:lang w:val="ro-RO"/>
        </w:rPr>
      </w:pPr>
      <w:r w:rsidRPr="00CD48F9">
        <w:rPr>
          <w:lang w:val="ro-RO"/>
        </w:rPr>
        <w:t>E</w:t>
      </w:r>
      <w:r w:rsidR="00D44F95" w:rsidRPr="00CD48F9">
        <w:rPr>
          <w:lang w:val="ro-RO"/>
        </w:rPr>
        <w:t>valuarea</w:t>
      </w:r>
      <w:r w:rsidR="008D30FB" w:rsidRPr="00CD48F9">
        <w:rPr>
          <w:lang w:val="ro-RO"/>
        </w:rPr>
        <w:t xml:space="preserve"> legislației privind protecția avertizorilor </w:t>
      </w:r>
      <w:r w:rsidR="009D6578" w:rsidRPr="00CD48F9">
        <w:rPr>
          <w:lang w:val="ro-RO"/>
        </w:rPr>
        <w:t xml:space="preserve">în interes public </w:t>
      </w:r>
      <w:r w:rsidR="008D30FB" w:rsidRPr="00CD48F9">
        <w:rPr>
          <w:lang w:val="ro-RO"/>
        </w:rPr>
        <w:t>și migrația angajaților din sectorul public în cel privat</w:t>
      </w:r>
      <w:r w:rsidR="005B5977" w:rsidRPr="00CD48F9">
        <w:rPr>
          <w:lang w:val="ro-RO"/>
        </w:rPr>
        <w:t xml:space="preserve"> </w:t>
      </w:r>
      <w:r w:rsidR="00D44F95" w:rsidRPr="00CD48F9">
        <w:rPr>
          <w:lang w:val="ro-RO"/>
        </w:rPr>
        <w:t>este</w:t>
      </w:r>
      <w:r w:rsidR="003B3B79" w:rsidRPr="00CD48F9">
        <w:rPr>
          <w:lang w:val="ro-RO"/>
        </w:rPr>
        <w:t>, totodată,</w:t>
      </w:r>
      <w:r w:rsidR="00D44F95" w:rsidRPr="00CD48F9">
        <w:rPr>
          <w:lang w:val="ro-RO"/>
        </w:rPr>
        <w:t xml:space="preserve"> una din</w:t>
      </w:r>
      <w:r w:rsidR="00BF5FAC" w:rsidRPr="00CD48F9">
        <w:rPr>
          <w:lang w:val="ro-RO"/>
        </w:rPr>
        <w:t xml:space="preserve"> activitățile p</w:t>
      </w:r>
      <w:r w:rsidR="005B5977" w:rsidRPr="00CD48F9">
        <w:rPr>
          <w:lang w:val="ro-RO"/>
        </w:rPr>
        <w:t xml:space="preserve">roiectului </w:t>
      </w:r>
      <w:r w:rsidR="00AC0184" w:rsidRPr="00CD48F9">
        <w:rPr>
          <w:lang w:val="ro-RO"/>
        </w:rPr>
        <w:t xml:space="preserve">POCA </w:t>
      </w:r>
      <w:r w:rsidR="005B5977" w:rsidRPr="00CD48F9">
        <w:rPr>
          <w:lang w:val="ro-RO"/>
        </w:rPr>
        <w:t>„</w:t>
      </w:r>
      <w:r w:rsidR="005B5977" w:rsidRPr="00CD48F9">
        <w:rPr>
          <w:i/>
          <w:lang w:val="ro-RO"/>
        </w:rPr>
        <w:t>Consolidarea capacității administrative a secretariatului tehnic al Strategiei Naționale Anticorupție 2016-2020 de a sprijini implementarea măsurilor anticorupție</w:t>
      </w:r>
      <w:r w:rsidR="0006628B" w:rsidRPr="00CD48F9">
        <w:rPr>
          <w:i/>
          <w:lang w:val="ro-RO"/>
        </w:rPr>
        <w:t>”</w:t>
      </w:r>
      <w:r w:rsidR="003209A5" w:rsidRPr="00CD48F9">
        <w:rPr>
          <w:lang w:val="ro-RO"/>
        </w:rPr>
        <w:t>,</w:t>
      </w:r>
      <w:r w:rsidR="00AC0184" w:rsidRPr="00CD48F9">
        <w:rPr>
          <w:lang w:val="ro-RO"/>
        </w:rPr>
        <w:t xml:space="preserve"> cod SIPOCA 62,</w:t>
      </w:r>
      <w:r w:rsidRPr="00CD48F9">
        <w:rPr>
          <w:lang w:val="ro-RO"/>
        </w:rPr>
        <w:t xml:space="preserve"> </w:t>
      </w:r>
      <w:r w:rsidR="00E82535" w:rsidRPr="00CD48F9">
        <w:rPr>
          <w:lang w:val="ro-RO"/>
        </w:rPr>
        <w:t>stadiul realizării acesteia fiind prezentat la secțiunea 2.3.4</w:t>
      </w:r>
      <w:r w:rsidR="00CF459C" w:rsidRPr="00CD48F9">
        <w:rPr>
          <w:lang w:val="ro-RO"/>
        </w:rPr>
        <w:t>.</w:t>
      </w:r>
      <w:r w:rsidR="00E82535" w:rsidRPr="00CD48F9">
        <w:rPr>
          <w:lang w:val="ro-RO"/>
        </w:rPr>
        <w:t xml:space="preserve"> din raport.</w:t>
      </w:r>
    </w:p>
    <w:p w:rsidR="00C34376" w:rsidRPr="00CD48F9" w:rsidRDefault="00CB3D91" w:rsidP="00972E3A">
      <w:pPr>
        <w:spacing w:after="120" w:line="276" w:lineRule="auto"/>
        <w:rPr>
          <w:lang w:val="ro-RO"/>
        </w:rPr>
      </w:pPr>
      <w:r w:rsidRPr="00CD48F9">
        <w:rPr>
          <w:lang w:val="ro-RO"/>
        </w:rPr>
        <w:t xml:space="preserve">Potrivit art. 121 din Legea </w:t>
      </w:r>
      <w:r w:rsidR="00666CF0" w:rsidRPr="00CD48F9">
        <w:rPr>
          <w:lang w:val="ro-RO"/>
        </w:rPr>
        <w:t xml:space="preserve">nr. </w:t>
      </w:r>
      <w:r w:rsidRPr="00CD48F9">
        <w:rPr>
          <w:lang w:val="ro-RO"/>
        </w:rPr>
        <w:t>252/2013</w:t>
      </w:r>
      <w:r w:rsidRPr="00CD48F9">
        <w:rPr>
          <w:rStyle w:val="FootnoteReference"/>
          <w:lang w:val="ro-RO"/>
        </w:rPr>
        <w:footnoteReference w:id="21"/>
      </w:r>
      <w:r w:rsidRPr="00CD48F9">
        <w:rPr>
          <w:lang w:val="ro-RO"/>
        </w:rPr>
        <w:t xml:space="preserve"> cu modificările și completările ulterioare, </w:t>
      </w:r>
      <w:r w:rsidR="00894057" w:rsidRPr="00CD48F9">
        <w:rPr>
          <w:lang w:val="ro-RO"/>
        </w:rPr>
        <w:t>urmează să fie adoptat proiectul Legii privind statutul personalului de probațiune</w:t>
      </w:r>
      <w:r w:rsidR="003C6842" w:rsidRPr="00CD48F9">
        <w:rPr>
          <w:lang w:val="ro-RO"/>
        </w:rPr>
        <w:t>,</w:t>
      </w:r>
      <w:r w:rsidR="00894057" w:rsidRPr="00CD48F9">
        <w:rPr>
          <w:lang w:val="ro-RO"/>
        </w:rPr>
        <w:t xml:space="preserve"> care face parte din legislația de bază a procesului de reorganizare instituțională. Ulterior intrării în vigoare a acestei legi, la elaborarea cadrului normativ secundar/terțiar, respectiv a regulamentului de organizare și funcționare a sistemului de probațiune</w:t>
      </w:r>
      <w:r w:rsidR="00103534" w:rsidRPr="00CD48F9">
        <w:rPr>
          <w:lang w:val="ro-RO"/>
        </w:rPr>
        <w:t xml:space="preserve"> și a regulamentului intern se va avea în vedere introducerea unor dispoziții cu privire la protecția avertizorului în interes public (potrivit Legii nr. 571/2004). De asemenea, în planul de dezvoltare a sistemului de control intern managerial</w:t>
      </w:r>
      <w:r w:rsidR="00E26172" w:rsidRPr="00CD48F9">
        <w:rPr>
          <w:lang w:val="ro-RO"/>
        </w:rPr>
        <w:t>,</w:t>
      </w:r>
      <w:r w:rsidR="00103534" w:rsidRPr="00CD48F9">
        <w:rPr>
          <w:lang w:val="ro-RO"/>
        </w:rPr>
        <w:t xml:space="preserve"> la nivelul DNP a fost inclusă activitatea de elaborare a unei proceduri operaționale privind semnalarea neregularităților.</w:t>
      </w:r>
      <w:r w:rsidR="00894057" w:rsidRPr="00CD48F9">
        <w:rPr>
          <w:lang w:val="ro-RO"/>
        </w:rPr>
        <w:t xml:space="preserve">   </w:t>
      </w:r>
    </w:p>
    <w:p w:rsidR="008D30FB" w:rsidRPr="00CD48F9" w:rsidRDefault="00CB03C6" w:rsidP="00972E3A">
      <w:pPr>
        <w:pStyle w:val="Title"/>
        <w:spacing w:before="0" w:after="120" w:line="276" w:lineRule="auto"/>
        <w:jc w:val="both"/>
        <w:rPr>
          <w:rFonts w:ascii="Trebuchet MS" w:hAnsi="Trebuchet MS"/>
          <w:sz w:val="22"/>
          <w:szCs w:val="22"/>
          <w:lang w:val="ro-RO"/>
        </w:rPr>
      </w:pPr>
      <w:bookmarkStart w:id="20" w:name="_Toc3376521"/>
      <w:r w:rsidRPr="00CD48F9">
        <w:rPr>
          <w:rFonts w:ascii="Trebuchet MS" w:hAnsi="Trebuchet MS"/>
          <w:sz w:val="22"/>
          <w:szCs w:val="22"/>
          <w:lang w:val="ro-RO"/>
        </w:rPr>
        <w:t>5</w:t>
      </w:r>
      <w:r w:rsidR="002F4B3F" w:rsidRPr="00CD48F9">
        <w:rPr>
          <w:rFonts w:ascii="Trebuchet MS" w:hAnsi="Trebuchet MS"/>
          <w:sz w:val="22"/>
          <w:szCs w:val="22"/>
          <w:lang w:val="ro-RO"/>
        </w:rPr>
        <w:t>. Consolidarea integrității, reducerea vulnerabilităților și a riscurilor de corupție în sectoare și domenii de activitate prioritare</w:t>
      </w:r>
      <w:r w:rsidR="002F1DFC" w:rsidRPr="00CD48F9">
        <w:rPr>
          <w:rFonts w:ascii="Trebuchet MS" w:hAnsi="Trebuchet MS"/>
          <w:sz w:val="22"/>
          <w:szCs w:val="22"/>
          <w:lang w:val="ro-RO"/>
        </w:rPr>
        <w:t xml:space="preserve"> (Obiectivul general 3)</w:t>
      </w:r>
      <w:bookmarkEnd w:id="20"/>
    </w:p>
    <w:p w:rsidR="002F4B3F" w:rsidRPr="00CD48F9" w:rsidRDefault="00CB03C6" w:rsidP="00972E3A">
      <w:pPr>
        <w:pStyle w:val="Title"/>
        <w:spacing w:before="0" w:after="120" w:line="276" w:lineRule="auto"/>
        <w:jc w:val="both"/>
        <w:rPr>
          <w:rFonts w:ascii="Trebuchet MS" w:hAnsi="Trebuchet MS"/>
          <w:sz w:val="22"/>
          <w:szCs w:val="22"/>
          <w:lang w:val="ro-RO"/>
        </w:rPr>
      </w:pPr>
      <w:bookmarkStart w:id="21" w:name="_Toc3376522"/>
      <w:r w:rsidRPr="00CD48F9">
        <w:rPr>
          <w:rFonts w:ascii="Trebuchet MS" w:hAnsi="Trebuchet MS"/>
          <w:sz w:val="22"/>
          <w:szCs w:val="22"/>
          <w:lang w:val="ro-RO"/>
        </w:rPr>
        <w:t>5</w:t>
      </w:r>
      <w:r w:rsidR="002F4B3F" w:rsidRPr="00CD48F9">
        <w:rPr>
          <w:rFonts w:ascii="Trebuchet MS" w:hAnsi="Trebuchet MS"/>
          <w:sz w:val="22"/>
          <w:szCs w:val="22"/>
          <w:lang w:val="ro-RO"/>
        </w:rPr>
        <w:t>.1. Creșterea integrității, reducerea vulnerabilităților și a riscurilor de corupție în sistemul național de educație</w:t>
      </w:r>
      <w:r w:rsidR="002F1DFC" w:rsidRPr="00CD48F9">
        <w:rPr>
          <w:rFonts w:ascii="Trebuchet MS" w:hAnsi="Trebuchet MS"/>
          <w:sz w:val="22"/>
          <w:szCs w:val="22"/>
          <w:lang w:val="ro-RO"/>
        </w:rPr>
        <w:t xml:space="preserve"> (Obiectivul specific 3.1)</w:t>
      </w:r>
      <w:bookmarkEnd w:id="21"/>
    </w:p>
    <w:p w:rsidR="00840A62" w:rsidRPr="00CD48F9" w:rsidRDefault="00917EAF" w:rsidP="00972E3A">
      <w:pPr>
        <w:spacing w:after="120" w:line="276" w:lineRule="auto"/>
        <w:rPr>
          <w:lang w:val="ro-RO"/>
        </w:rPr>
      </w:pPr>
      <w:r w:rsidRPr="00CD48F9">
        <w:rPr>
          <w:lang w:val="ro-RO"/>
        </w:rPr>
        <w:t xml:space="preserve">Referitor la </w:t>
      </w:r>
      <w:r w:rsidRPr="00CD48F9">
        <w:rPr>
          <w:b/>
          <w:lang w:val="ro-RO"/>
        </w:rPr>
        <w:t>m</w:t>
      </w:r>
      <w:r w:rsidR="001C79A3" w:rsidRPr="00CD48F9">
        <w:rPr>
          <w:b/>
          <w:lang w:val="ro-RO"/>
        </w:rPr>
        <w:t>ăsura 3.1.1.</w:t>
      </w:r>
      <w:r w:rsidR="001534C9" w:rsidRPr="00CD48F9">
        <w:rPr>
          <w:lang w:val="ro-RO"/>
        </w:rPr>
        <w:t xml:space="preserve"> </w:t>
      </w:r>
      <w:r w:rsidRPr="00CD48F9">
        <w:rPr>
          <w:lang w:val="ro-RO"/>
        </w:rPr>
        <w:t>privind s</w:t>
      </w:r>
      <w:r w:rsidR="004D27DE" w:rsidRPr="00CD48F9">
        <w:rPr>
          <w:lang w:val="ro-RO"/>
        </w:rPr>
        <w:t>prijinirea Ministerului Educației Naționale</w:t>
      </w:r>
      <w:r w:rsidRPr="00CD48F9">
        <w:rPr>
          <w:lang w:val="ro-RO"/>
        </w:rPr>
        <w:t xml:space="preserve"> (MEN)</w:t>
      </w:r>
      <w:r w:rsidR="004D27DE" w:rsidRPr="00CD48F9">
        <w:rPr>
          <w:lang w:val="ro-RO"/>
        </w:rPr>
        <w:t xml:space="preserve"> în înființarea de programe de pregătire universitară și postuniversitară pe teme de etică și integritate, </w:t>
      </w:r>
      <w:r w:rsidRPr="00CD48F9">
        <w:rPr>
          <w:lang w:val="ro-RO"/>
        </w:rPr>
        <w:t>menționăm că î</w:t>
      </w:r>
      <w:r w:rsidR="00AC0184" w:rsidRPr="00CD48F9">
        <w:rPr>
          <w:lang w:val="ro-RO"/>
        </w:rPr>
        <w:t>n cursul anului 2019</w:t>
      </w:r>
      <w:r w:rsidR="004D27DE" w:rsidRPr="00CD48F9">
        <w:rPr>
          <w:lang w:val="ro-RO"/>
        </w:rPr>
        <w:t>,</w:t>
      </w:r>
      <w:r w:rsidR="00E722E8" w:rsidRPr="00CD48F9">
        <w:rPr>
          <w:lang w:val="ro-RO"/>
        </w:rPr>
        <w:t xml:space="preserve"> </w:t>
      </w:r>
      <w:r w:rsidRPr="00CD48F9">
        <w:rPr>
          <w:lang w:val="ro-RO"/>
        </w:rPr>
        <w:t>MEN</w:t>
      </w:r>
      <w:r w:rsidR="00E722E8" w:rsidRPr="00CD48F9">
        <w:rPr>
          <w:lang w:val="ro-RO"/>
        </w:rPr>
        <w:t xml:space="preserve"> nu a solicitat sprijinul</w:t>
      </w:r>
      <w:r w:rsidR="004D27DE" w:rsidRPr="00CD48F9">
        <w:rPr>
          <w:lang w:val="ro-RO"/>
        </w:rPr>
        <w:t xml:space="preserve"> </w:t>
      </w:r>
      <w:r w:rsidRPr="00CD48F9">
        <w:rPr>
          <w:lang w:val="ro-RO"/>
        </w:rPr>
        <w:t>MJ</w:t>
      </w:r>
      <w:r w:rsidR="00E722E8" w:rsidRPr="00CD48F9">
        <w:rPr>
          <w:lang w:val="ro-RO"/>
        </w:rPr>
        <w:t xml:space="preserve"> pentru implementarea acestei măsuri. </w:t>
      </w:r>
    </w:p>
    <w:p w:rsidR="002F4B3F" w:rsidRPr="00CD48F9" w:rsidRDefault="00CB03C6" w:rsidP="00972E3A">
      <w:pPr>
        <w:pStyle w:val="Title"/>
        <w:spacing w:before="0" w:after="120" w:line="276" w:lineRule="auto"/>
        <w:jc w:val="both"/>
        <w:rPr>
          <w:rFonts w:ascii="Trebuchet MS" w:hAnsi="Trebuchet MS"/>
          <w:sz w:val="22"/>
          <w:szCs w:val="22"/>
          <w:lang w:val="ro-RO"/>
        </w:rPr>
      </w:pPr>
      <w:bookmarkStart w:id="22" w:name="_Toc3376523"/>
      <w:r w:rsidRPr="00CD48F9">
        <w:rPr>
          <w:rFonts w:ascii="Trebuchet MS" w:hAnsi="Trebuchet MS"/>
          <w:sz w:val="22"/>
          <w:szCs w:val="22"/>
          <w:lang w:val="ro-RO"/>
        </w:rPr>
        <w:t>5</w:t>
      </w:r>
      <w:r w:rsidR="002F4B3F" w:rsidRPr="00CD48F9">
        <w:rPr>
          <w:rFonts w:ascii="Trebuchet MS" w:hAnsi="Trebuchet MS"/>
          <w:sz w:val="22"/>
          <w:szCs w:val="22"/>
          <w:lang w:val="ro-RO"/>
        </w:rPr>
        <w:t>.2. Creșterea integrității, reducerea vulnerabilităților și a riscurilor de corupție în domeniul achizițiilor publice</w:t>
      </w:r>
      <w:r w:rsidR="002F1DFC" w:rsidRPr="00CD48F9">
        <w:rPr>
          <w:rFonts w:ascii="Trebuchet MS" w:hAnsi="Trebuchet MS"/>
          <w:sz w:val="22"/>
          <w:szCs w:val="22"/>
          <w:lang w:val="ro-RO"/>
        </w:rPr>
        <w:t xml:space="preserve"> (Obiectivul specific 3.2)</w:t>
      </w:r>
      <w:bookmarkEnd w:id="22"/>
    </w:p>
    <w:p w:rsidR="00E60564" w:rsidRDefault="00FE4C1C" w:rsidP="00FD020F">
      <w:pPr>
        <w:pStyle w:val="xmsonormal"/>
        <w:spacing w:before="0" w:beforeAutospacing="0" w:after="120" w:afterAutospacing="0" w:line="276" w:lineRule="auto"/>
        <w:jc w:val="both"/>
        <w:rPr>
          <w:rFonts w:ascii="Trebuchet MS" w:hAnsi="Trebuchet MS"/>
          <w:sz w:val="22"/>
          <w:szCs w:val="22"/>
          <w:highlight w:val="yellow"/>
          <w:lang w:val="ro-RO"/>
        </w:rPr>
      </w:pPr>
      <w:r w:rsidRPr="002F11E7">
        <w:rPr>
          <w:rFonts w:ascii="Trebuchet MS" w:hAnsi="Trebuchet MS"/>
          <w:sz w:val="22"/>
          <w:szCs w:val="22"/>
          <w:highlight w:val="yellow"/>
          <w:lang w:val="ro-RO"/>
        </w:rPr>
        <w:lastRenderedPageBreak/>
        <w:t xml:space="preserve">În vederea implementării </w:t>
      </w:r>
      <w:r w:rsidRPr="002F11E7">
        <w:rPr>
          <w:rFonts w:ascii="Trebuchet MS" w:hAnsi="Trebuchet MS"/>
          <w:b/>
          <w:sz w:val="22"/>
          <w:szCs w:val="22"/>
          <w:highlight w:val="yellow"/>
          <w:lang w:val="ro-RO"/>
        </w:rPr>
        <w:t>măsurii</w:t>
      </w:r>
      <w:r w:rsidR="00012A0A" w:rsidRPr="002F11E7">
        <w:rPr>
          <w:rFonts w:ascii="Trebuchet MS" w:hAnsi="Trebuchet MS"/>
          <w:b/>
          <w:sz w:val="22"/>
          <w:szCs w:val="22"/>
          <w:highlight w:val="yellow"/>
          <w:lang w:val="ro-RO"/>
        </w:rPr>
        <w:t xml:space="preserve"> 3.2.1.</w:t>
      </w:r>
      <w:r w:rsidR="00012A0A" w:rsidRPr="002F11E7">
        <w:rPr>
          <w:rFonts w:ascii="Trebuchet MS" w:hAnsi="Trebuchet MS"/>
          <w:sz w:val="22"/>
          <w:szCs w:val="22"/>
          <w:highlight w:val="yellow"/>
          <w:lang w:val="ro-RO"/>
        </w:rPr>
        <w:t xml:space="preserve"> </w:t>
      </w:r>
      <w:r w:rsidRPr="002F11E7">
        <w:rPr>
          <w:rFonts w:ascii="Trebuchet MS" w:hAnsi="Trebuchet MS"/>
          <w:sz w:val="22"/>
          <w:szCs w:val="22"/>
          <w:highlight w:val="yellow"/>
          <w:lang w:val="ro-RO"/>
        </w:rPr>
        <w:t>referitoare la s</w:t>
      </w:r>
      <w:r w:rsidR="00012A0A" w:rsidRPr="002F11E7">
        <w:rPr>
          <w:rFonts w:ascii="Trebuchet MS" w:hAnsi="Trebuchet MS"/>
          <w:sz w:val="22"/>
          <w:szCs w:val="22"/>
          <w:highlight w:val="yellow"/>
          <w:lang w:val="ro-RO"/>
        </w:rPr>
        <w:t>prijinirea Agenției Naționale pentru Achiziții Publice</w:t>
      </w:r>
      <w:r w:rsidR="002F5158" w:rsidRPr="002F11E7">
        <w:rPr>
          <w:rFonts w:ascii="Trebuchet MS" w:hAnsi="Trebuchet MS"/>
          <w:sz w:val="22"/>
          <w:szCs w:val="22"/>
          <w:highlight w:val="yellow"/>
          <w:lang w:val="ro-RO"/>
        </w:rPr>
        <w:t xml:space="preserve"> (ANAP)</w:t>
      </w:r>
      <w:r w:rsidR="00012A0A" w:rsidRPr="002F11E7">
        <w:rPr>
          <w:rFonts w:ascii="Trebuchet MS" w:hAnsi="Trebuchet MS"/>
          <w:sz w:val="22"/>
          <w:szCs w:val="22"/>
          <w:highlight w:val="yellow"/>
          <w:lang w:val="ro-RO"/>
        </w:rPr>
        <w:t xml:space="preserve"> în dezvoltarea unui mecanism de recompensare pentru ofertanții care s-au dovedit inte</w:t>
      </w:r>
      <w:r w:rsidRPr="002F11E7">
        <w:rPr>
          <w:rFonts w:ascii="Trebuchet MS" w:hAnsi="Trebuchet MS"/>
          <w:sz w:val="22"/>
          <w:szCs w:val="22"/>
          <w:highlight w:val="yellow"/>
          <w:lang w:val="ro-RO"/>
        </w:rPr>
        <w:t xml:space="preserve">gri în derularea afacerilor lor, MJ și ANAP </w:t>
      </w:r>
      <w:r w:rsidR="001F23A2" w:rsidRPr="002F11E7">
        <w:rPr>
          <w:rFonts w:ascii="Trebuchet MS" w:hAnsi="Trebuchet MS"/>
          <w:sz w:val="22"/>
          <w:szCs w:val="22"/>
          <w:highlight w:val="yellow"/>
          <w:lang w:val="ro-RO"/>
        </w:rPr>
        <w:t>au transmis, în anul 2018,</w:t>
      </w:r>
      <w:r w:rsidR="00E722E8" w:rsidRPr="002F11E7">
        <w:rPr>
          <w:rFonts w:ascii="Trebuchet MS" w:hAnsi="Trebuchet MS"/>
          <w:sz w:val="22"/>
          <w:szCs w:val="22"/>
          <w:highlight w:val="yellow"/>
          <w:lang w:val="ro-RO"/>
        </w:rPr>
        <w:t xml:space="preserve"> </w:t>
      </w:r>
      <w:r w:rsidR="001F23A2" w:rsidRPr="002F11E7">
        <w:rPr>
          <w:rFonts w:ascii="Trebuchet MS" w:hAnsi="Trebuchet MS"/>
          <w:sz w:val="22"/>
          <w:szCs w:val="22"/>
          <w:highlight w:val="yellow"/>
          <w:lang w:val="ro-RO"/>
        </w:rPr>
        <w:t xml:space="preserve">o </w:t>
      </w:r>
      <w:r w:rsidR="00E722E8" w:rsidRPr="002F11E7">
        <w:rPr>
          <w:rFonts w:ascii="Trebuchet MS" w:hAnsi="Trebuchet MS"/>
          <w:sz w:val="22"/>
          <w:szCs w:val="22"/>
          <w:highlight w:val="yellow"/>
          <w:lang w:val="ro-RO"/>
        </w:rPr>
        <w:t>adres</w:t>
      </w:r>
      <w:r w:rsidR="001F23A2" w:rsidRPr="002F11E7">
        <w:rPr>
          <w:rFonts w:ascii="Trebuchet MS" w:hAnsi="Trebuchet MS"/>
          <w:sz w:val="22"/>
          <w:szCs w:val="22"/>
          <w:highlight w:val="yellow"/>
          <w:lang w:val="ro-RO"/>
        </w:rPr>
        <w:t>ă</w:t>
      </w:r>
      <w:r w:rsidR="00E722E8" w:rsidRPr="002F11E7">
        <w:rPr>
          <w:rFonts w:ascii="Trebuchet MS" w:hAnsi="Trebuchet MS"/>
          <w:sz w:val="22"/>
          <w:szCs w:val="22"/>
          <w:highlight w:val="yellow"/>
          <w:lang w:val="ro-RO"/>
        </w:rPr>
        <w:t xml:space="preserve"> comun</w:t>
      </w:r>
      <w:r w:rsidR="001F23A2" w:rsidRPr="002F11E7">
        <w:rPr>
          <w:rFonts w:ascii="Trebuchet MS" w:hAnsi="Trebuchet MS"/>
          <w:sz w:val="22"/>
          <w:szCs w:val="22"/>
          <w:highlight w:val="yellow"/>
          <w:lang w:val="ro-RO"/>
        </w:rPr>
        <w:t>ă</w:t>
      </w:r>
      <w:r w:rsidR="00E722E8" w:rsidRPr="002F11E7">
        <w:rPr>
          <w:rFonts w:ascii="Trebuchet MS" w:hAnsi="Trebuchet MS"/>
          <w:sz w:val="22"/>
          <w:szCs w:val="22"/>
          <w:highlight w:val="yellow"/>
          <w:lang w:val="ro-RO"/>
        </w:rPr>
        <w:t xml:space="preserve"> către Comisia Europeană</w:t>
      </w:r>
      <w:r w:rsidR="001F23A2" w:rsidRPr="002F11E7">
        <w:rPr>
          <w:rFonts w:ascii="Trebuchet MS" w:hAnsi="Trebuchet MS"/>
          <w:sz w:val="22"/>
          <w:szCs w:val="22"/>
          <w:highlight w:val="yellow"/>
          <w:lang w:val="ro-RO"/>
        </w:rPr>
        <w:t xml:space="preserve"> (CE)</w:t>
      </w:r>
      <w:r w:rsidR="00E722E8" w:rsidRPr="002F11E7">
        <w:rPr>
          <w:rFonts w:ascii="Trebuchet MS" w:hAnsi="Trebuchet MS"/>
          <w:sz w:val="22"/>
          <w:szCs w:val="22"/>
          <w:highlight w:val="yellow"/>
          <w:lang w:val="ro-RO"/>
        </w:rPr>
        <w:t xml:space="preserve"> </w:t>
      </w:r>
      <w:r w:rsidR="00FD020F" w:rsidRPr="002F11E7">
        <w:rPr>
          <w:rFonts w:ascii="Trebuchet MS" w:hAnsi="Trebuchet MS"/>
          <w:sz w:val="22"/>
          <w:szCs w:val="22"/>
          <w:highlight w:val="yellow"/>
          <w:lang w:val="ro-RO"/>
        </w:rPr>
        <w:t>pentru consultarea</w:t>
      </w:r>
      <w:r w:rsidR="00E722E8" w:rsidRPr="002F11E7">
        <w:rPr>
          <w:rFonts w:ascii="Trebuchet MS" w:hAnsi="Trebuchet MS"/>
          <w:sz w:val="22"/>
          <w:szCs w:val="22"/>
          <w:highlight w:val="yellow"/>
          <w:lang w:val="ro-RO"/>
        </w:rPr>
        <w:t xml:space="preserve"> Direcției Generale Piață Internă, Industrie, Antreprenoriat și IMM-uri cu privire la dezvoltarea unui mecanism de recompensare pentru ofertanții care s-au dovedit integri în derularea afacerilor.</w:t>
      </w:r>
      <w:r w:rsidR="00024F60" w:rsidRPr="002F11E7">
        <w:rPr>
          <w:rFonts w:ascii="Trebuchet MS" w:hAnsi="Trebuchet MS"/>
          <w:sz w:val="22"/>
          <w:szCs w:val="22"/>
          <w:highlight w:val="yellow"/>
          <w:lang w:val="ro-RO"/>
        </w:rPr>
        <w:t xml:space="preserve"> </w:t>
      </w:r>
      <w:r w:rsidR="006E5B63">
        <w:rPr>
          <w:rFonts w:ascii="Trebuchet MS" w:hAnsi="Trebuchet MS"/>
          <w:sz w:val="22"/>
          <w:szCs w:val="22"/>
          <w:highlight w:val="yellow"/>
          <w:lang w:val="ro-RO"/>
        </w:rPr>
        <w:t xml:space="preserve">În aprilie </w:t>
      </w:r>
      <w:r w:rsidR="001F23A2" w:rsidRPr="002F11E7">
        <w:rPr>
          <w:rFonts w:ascii="Trebuchet MS" w:hAnsi="Trebuchet MS"/>
          <w:sz w:val="22"/>
          <w:szCs w:val="22"/>
          <w:highlight w:val="yellow"/>
          <w:lang w:val="ro-RO"/>
        </w:rPr>
        <w:t xml:space="preserve">2019, CE a răspuns adresei comune, </w:t>
      </w:r>
      <w:r w:rsidR="00AF0E25" w:rsidRPr="002F11E7">
        <w:rPr>
          <w:rFonts w:ascii="Trebuchet MS" w:hAnsi="Trebuchet MS"/>
          <w:sz w:val="22"/>
          <w:szCs w:val="22"/>
          <w:highlight w:val="yellow"/>
          <w:lang w:val="ro-RO"/>
        </w:rPr>
        <w:t>exprimându-și</w:t>
      </w:r>
      <w:r w:rsidR="001F23A2" w:rsidRPr="002F11E7">
        <w:rPr>
          <w:rFonts w:ascii="Trebuchet MS" w:hAnsi="Trebuchet MS"/>
          <w:sz w:val="22"/>
          <w:szCs w:val="22"/>
          <w:highlight w:val="yellow"/>
          <w:lang w:val="ro-RO"/>
        </w:rPr>
        <w:t xml:space="preserve"> susținerea cu privire la demersul R</w:t>
      </w:r>
      <w:r w:rsidR="00FD020F" w:rsidRPr="002F11E7">
        <w:rPr>
          <w:rFonts w:ascii="Trebuchet MS" w:hAnsi="Trebuchet MS"/>
          <w:sz w:val="22"/>
          <w:szCs w:val="22"/>
          <w:highlight w:val="yellow"/>
          <w:lang w:val="ro-RO"/>
        </w:rPr>
        <w:t>O</w:t>
      </w:r>
      <w:r w:rsidR="001F23A2" w:rsidRPr="002F11E7">
        <w:rPr>
          <w:rFonts w:ascii="Trebuchet MS" w:hAnsi="Trebuchet MS"/>
          <w:sz w:val="22"/>
          <w:szCs w:val="22"/>
          <w:highlight w:val="yellow"/>
          <w:lang w:val="ro-RO"/>
        </w:rPr>
        <w:t xml:space="preserve"> de a dezvolta un mecanism de recompensare pentru ofertanții care s-au dovedit inte</w:t>
      </w:r>
      <w:r w:rsidR="006E5B63">
        <w:rPr>
          <w:rFonts w:ascii="Trebuchet MS" w:hAnsi="Trebuchet MS"/>
          <w:sz w:val="22"/>
          <w:szCs w:val="22"/>
          <w:highlight w:val="yellow"/>
          <w:lang w:val="ro-RO"/>
        </w:rPr>
        <w:t>gri în derularea afacerilor lor</w:t>
      </w:r>
      <w:r w:rsidR="001F23A2" w:rsidRPr="002F11E7">
        <w:rPr>
          <w:rFonts w:ascii="Trebuchet MS" w:hAnsi="Trebuchet MS"/>
          <w:sz w:val="22"/>
          <w:szCs w:val="22"/>
          <w:highlight w:val="yellow"/>
          <w:lang w:val="ro-RO"/>
        </w:rPr>
        <w:t xml:space="preserve"> </w:t>
      </w:r>
      <w:r w:rsidR="006E5B63">
        <w:rPr>
          <w:rFonts w:ascii="Trebuchet MS" w:hAnsi="Trebuchet MS"/>
          <w:sz w:val="22"/>
          <w:szCs w:val="22"/>
          <w:highlight w:val="yellow"/>
          <w:lang w:val="ro-RO"/>
        </w:rPr>
        <w:t xml:space="preserve">și solicitând informații referitoare </w:t>
      </w:r>
      <w:r w:rsidR="001F23A2" w:rsidRPr="002F11E7">
        <w:rPr>
          <w:rFonts w:ascii="Trebuchet MS" w:hAnsi="Trebuchet MS"/>
          <w:sz w:val="22"/>
          <w:szCs w:val="22"/>
          <w:highlight w:val="yellow"/>
          <w:lang w:val="ro-RO"/>
        </w:rPr>
        <w:t xml:space="preserve">la modul concret în care această măsură ar putea fi implementată. </w:t>
      </w:r>
      <w:r w:rsidR="00AF0E25" w:rsidRPr="002F11E7">
        <w:rPr>
          <w:rFonts w:ascii="Trebuchet MS" w:hAnsi="Trebuchet MS"/>
          <w:sz w:val="22"/>
          <w:szCs w:val="22"/>
          <w:highlight w:val="yellow"/>
          <w:lang w:val="ro-RO"/>
        </w:rPr>
        <w:t xml:space="preserve">În acest </w:t>
      </w:r>
      <w:r w:rsidR="006E5B63">
        <w:rPr>
          <w:rFonts w:ascii="Trebuchet MS" w:hAnsi="Trebuchet MS"/>
          <w:sz w:val="22"/>
          <w:szCs w:val="22"/>
          <w:highlight w:val="yellow"/>
          <w:lang w:val="ro-RO"/>
        </w:rPr>
        <w:t>context</w:t>
      </w:r>
      <w:r w:rsidR="00AF0E25" w:rsidRPr="002F11E7">
        <w:rPr>
          <w:rFonts w:ascii="Trebuchet MS" w:hAnsi="Trebuchet MS"/>
          <w:sz w:val="22"/>
          <w:szCs w:val="22"/>
          <w:highlight w:val="yellow"/>
          <w:lang w:val="ro-RO"/>
        </w:rPr>
        <w:t>, MJ și ANAP au avut discuții</w:t>
      </w:r>
      <w:r w:rsidR="002F11E7">
        <w:rPr>
          <w:rFonts w:ascii="Trebuchet MS" w:hAnsi="Trebuchet MS"/>
          <w:sz w:val="22"/>
          <w:szCs w:val="22"/>
          <w:highlight w:val="yellow"/>
          <w:lang w:val="ro-RO"/>
        </w:rPr>
        <w:t xml:space="preserve"> tehnice</w:t>
      </w:r>
      <w:r w:rsidR="001F23A2" w:rsidRPr="002F11E7">
        <w:rPr>
          <w:rFonts w:ascii="Trebuchet MS" w:hAnsi="Trebuchet MS"/>
          <w:sz w:val="22"/>
          <w:szCs w:val="22"/>
          <w:highlight w:val="yellow"/>
          <w:lang w:val="ro-RO"/>
        </w:rPr>
        <w:t xml:space="preserve"> </w:t>
      </w:r>
      <w:r w:rsidR="00AF0E25" w:rsidRPr="002F11E7">
        <w:rPr>
          <w:rFonts w:ascii="Trebuchet MS" w:hAnsi="Trebuchet MS"/>
          <w:sz w:val="22"/>
          <w:szCs w:val="22"/>
          <w:highlight w:val="yellow"/>
          <w:lang w:val="ro-RO"/>
        </w:rPr>
        <w:t>în</w:t>
      </w:r>
      <w:r w:rsidR="002F11E7">
        <w:rPr>
          <w:rFonts w:ascii="Trebuchet MS" w:hAnsi="Trebuchet MS"/>
          <w:sz w:val="22"/>
          <w:szCs w:val="22"/>
          <w:highlight w:val="yellow"/>
          <w:lang w:val="ro-RO"/>
        </w:rPr>
        <w:t xml:space="preserve"> urma cărora MJ a elaborat un material pentru a fi </w:t>
      </w:r>
      <w:r w:rsidR="001F23A2" w:rsidRPr="002F11E7">
        <w:rPr>
          <w:rFonts w:ascii="Trebuchet MS" w:hAnsi="Trebuchet MS"/>
          <w:sz w:val="22"/>
          <w:szCs w:val="22"/>
          <w:highlight w:val="yellow"/>
          <w:lang w:val="ro-RO"/>
        </w:rPr>
        <w:t xml:space="preserve">utilizat de </w:t>
      </w:r>
      <w:proofErr w:type="spellStart"/>
      <w:r w:rsidR="001F23A2" w:rsidRPr="002F11E7">
        <w:rPr>
          <w:rFonts w:ascii="Trebuchet MS" w:hAnsi="Trebuchet MS"/>
          <w:sz w:val="22"/>
          <w:szCs w:val="22"/>
          <w:highlight w:val="yellow"/>
          <w:lang w:val="ro-RO"/>
        </w:rPr>
        <w:t>autorităţile</w:t>
      </w:r>
      <w:proofErr w:type="spellEnd"/>
      <w:r w:rsidR="001F23A2" w:rsidRPr="002F11E7">
        <w:rPr>
          <w:rFonts w:ascii="Trebuchet MS" w:hAnsi="Trebuchet MS"/>
          <w:sz w:val="22"/>
          <w:szCs w:val="22"/>
          <w:highlight w:val="yellow"/>
          <w:lang w:val="ro-RO"/>
        </w:rPr>
        <w:t xml:space="preserve"> române</w:t>
      </w:r>
      <w:r w:rsidR="00A43914">
        <w:rPr>
          <w:rFonts w:ascii="Trebuchet MS" w:hAnsi="Trebuchet MS"/>
          <w:sz w:val="22"/>
          <w:szCs w:val="22"/>
          <w:highlight w:val="yellow"/>
          <w:lang w:val="ro-RO"/>
        </w:rPr>
        <w:t>,</w:t>
      </w:r>
      <w:r w:rsidR="001F23A2" w:rsidRPr="002F11E7">
        <w:rPr>
          <w:rFonts w:ascii="Trebuchet MS" w:hAnsi="Trebuchet MS"/>
          <w:sz w:val="22"/>
          <w:szCs w:val="22"/>
          <w:highlight w:val="yellow"/>
          <w:lang w:val="ro-RO"/>
        </w:rPr>
        <w:t xml:space="preserve"> </w:t>
      </w:r>
      <w:r w:rsidR="002F11E7">
        <w:rPr>
          <w:rFonts w:ascii="Trebuchet MS" w:hAnsi="Trebuchet MS"/>
          <w:sz w:val="22"/>
          <w:szCs w:val="22"/>
          <w:highlight w:val="yellow"/>
          <w:lang w:val="ro-RO"/>
        </w:rPr>
        <w:t>în vederea</w:t>
      </w:r>
      <w:r w:rsidR="00764F6F">
        <w:rPr>
          <w:rFonts w:ascii="Trebuchet MS" w:hAnsi="Trebuchet MS"/>
          <w:sz w:val="22"/>
          <w:szCs w:val="22"/>
          <w:highlight w:val="yellow"/>
          <w:lang w:val="ro-RO"/>
        </w:rPr>
        <w:t xml:space="preserve"> evaluării</w:t>
      </w:r>
      <w:r w:rsidR="001F23A2" w:rsidRPr="002F11E7">
        <w:rPr>
          <w:rFonts w:ascii="Trebuchet MS" w:hAnsi="Trebuchet MS"/>
          <w:sz w:val="22"/>
          <w:szCs w:val="22"/>
          <w:highlight w:val="yellow"/>
          <w:lang w:val="ro-RO"/>
        </w:rPr>
        <w:t xml:space="preserve"> </w:t>
      </w:r>
      <w:proofErr w:type="spellStart"/>
      <w:r w:rsidR="001F23A2" w:rsidRPr="002F11E7">
        <w:rPr>
          <w:rFonts w:ascii="Trebuchet MS" w:hAnsi="Trebuchet MS"/>
          <w:sz w:val="22"/>
          <w:szCs w:val="22"/>
          <w:highlight w:val="yellow"/>
          <w:lang w:val="ro-RO"/>
        </w:rPr>
        <w:t>integrităţii</w:t>
      </w:r>
      <w:proofErr w:type="spellEnd"/>
      <w:r w:rsidR="001F23A2" w:rsidRPr="002F11E7">
        <w:rPr>
          <w:rFonts w:ascii="Trebuchet MS" w:hAnsi="Trebuchet MS"/>
          <w:sz w:val="22"/>
          <w:szCs w:val="22"/>
          <w:highlight w:val="yellow"/>
          <w:lang w:val="ro-RO"/>
        </w:rPr>
        <w:t xml:space="preserve"> </w:t>
      </w:r>
      <w:proofErr w:type="spellStart"/>
      <w:r w:rsidR="001F23A2" w:rsidRPr="002F11E7">
        <w:rPr>
          <w:rFonts w:ascii="Trebuchet MS" w:hAnsi="Trebuchet MS"/>
          <w:sz w:val="22"/>
          <w:szCs w:val="22"/>
          <w:highlight w:val="yellow"/>
          <w:lang w:val="ro-RO"/>
        </w:rPr>
        <w:t>organizaţionale</w:t>
      </w:r>
      <w:proofErr w:type="spellEnd"/>
      <w:r w:rsidR="001F23A2" w:rsidRPr="002F11E7">
        <w:rPr>
          <w:rFonts w:ascii="Trebuchet MS" w:hAnsi="Trebuchet MS"/>
          <w:sz w:val="22"/>
          <w:szCs w:val="22"/>
          <w:highlight w:val="yellow"/>
          <w:lang w:val="ro-RO"/>
        </w:rPr>
        <w:t xml:space="preserve"> a </w:t>
      </w:r>
      <w:proofErr w:type="spellStart"/>
      <w:r w:rsidR="001F23A2" w:rsidRPr="002F11E7">
        <w:rPr>
          <w:rFonts w:ascii="Trebuchet MS" w:hAnsi="Trebuchet MS"/>
          <w:sz w:val="22"/>
          <w:szCs w:val="22"/>
          <w:highlight w:val="yellow"/>
          <w:lang w:val="ro-RO"/>
        </w:rPr>
        <w:t>ofertan</w:t>
      </w:r>
      <w:r w:rsidR="006E5B63">
        <w:rPr>
          <w:rFonts w:ascii="Trebuchet MS" w:hAnsi="Trebuchet MS"/>
          <w:sz w:val="22"/>
          <w:szCs w:val="22"/>
          <w:highlight w:val="yellow"/>
          <w:lang w:val="ro-RO"/>
        </w:rPr>
        <w:t>ţilor</w:t>
      </w:r>
      <w:proofErr w:type="spellEnd"/>
      <w:r w:rsidR="006E5B63">
        <w:rPr>
          <w:rFonts w:ascii="Trebuchet MS" w:hAnsi="Trebuchet MS"/>
          <w:sz w:val="22"/>
          <w:szCs w:val="22"/>
          <w:highlight w:val="yellow"/>
          <w:lang w:val="ro-RO"/>
        </w:rPr>
        <w:t xml:space="preserve"> din </w:t>
      </w:r>
      <w:proofErr w:type="spellStart"/>
      <w:r w:rsidR="006E5B63">
        <w:rPr>
          <w:rFonts w:ascii="Trebuchet MS" w:hAnsi="Trebuchet MS"/>
          <w:sz w:val="22"/>
          <w:szCs w:val="22"/>
          <w:highlight w:val="yellow"/>
          <w:lang w:val="ro-RO"/>
        </w:rPr>
        <w:t>achiziţiile</w:t>
      </w:r>
      <w:proofErr w:type="spellEnd"/>
      <w:r w:rsidR="006E5B63">
        <w:rPr>
          <w:rFonts w:ascii="Trebuchet MS" w:hAnsi="Trebuchet MS"/>
          <w:sz w:val="22"/>
          <w:szCs w:val="22"/>
          <w:highlight w:val="yellow"/>
          <w:lang w:val="ro-RO"/>
        </w:rPr>
        <w:t xml:space="preserve"> publice, fiind folosit ca bună practică </w:t>
      </w:r>
      <w:r w:rsidR="001F23A2" w:rsidRPr="002F11E7">
        <w:rPr>
          <w:rFonts w:ascii="Trebuchet MS" w:hAnsi="Trebuchet MS"/>
          <w:sz w:val="22"/>
          <w:szCs w:val="22"/>
          <w:highlight w:val="yellow"/>
          <w:lang w:val="ro-RO"/>
        </w:rPr>
        <w:t xml:space="preserve">modelul promovat de Ghidul Departamentului de </w:t>
      </w:r>
      <w:proofErr w:type="spellStart"/>
      <w:r w:rsidR="001F23A2" w:rsidRPr="002F11E7">
        <w:rPr>
          <w:rFonts w:ascii="Trebuchet MS" w:hAnsi="Trebuchet MS"/>
          <w:sz w:val="22"/>
          <w:szCs w:val="22"/>
          <w:highlight w:val="yellow"/>
          <w:lang w:val="ro-RO"/>
        </w:rPr>
        <w:t>Justiţie</w:t>
      </w:r>
      <w:proofErr w:type="spellEnd"/>
      <w:r w:rsidR="001F23A2" w:rsidRPr="002F11E7">
        <w:rPr>
          <w:rFonts w:ascii="Trebuchet MS" w:hAnsi="Trebuchet MS"/>
          <w:sz w:val="22"/>
          <w:szCs w:val="22"/>
          <w:highlight w:val="yellow"/>
          <w:lang w:val="ro-RO"/>
        </w:rPr>
        <w:t xml:space="preserve"> al Statelor Unite ale Americii pentru evaluarea </w:t>
      </w:r>
      <w:proofErr w:type="spellStart"/>
      <w:r w:rsidR="001F23A2" w:rsidRPr="002F11E7">
        <w:rPr>
          <w:rFonts w:ascii="Trebuchet MS" w:hAnsi="Trebuchet MS"/>
          <w:sz w:val="22"/>
          <w:szCs w:val="22"/>
          <w:highlight w:val="yellow"/>
          <w:lang w:val="ro-RO"/>
        </w:rPr>
        <w:t>conformităţii</w:t>
      </w:r>
      <w:proofErr w:type="spellEnd"/>
      <w:r w:rsidR="001F23A2" w:rsidRPr="002F11E7">
        <w:rPr>
          <w:rFonts w:ascii="Trebuchet MS" w:hAnsi="Trebuchet MS"/>
          <w:sz w:val="22"/>
          <w:szCs w:val="22"/>
          <w:highlight w:val="yellow"/>
          <w:lang w:val="ro-RO"/>
        </w:rPr>
        <w:t xml:space="preserve"> corporative</w:t>
      </w:r>
      <w:r w:rsidR="000842EB" w:rsidRPr="002F11E7">
        <w:rPr>
          <w:rFonts w:ascii="Trebuchet MS" w:hAnsi="Trebuchet MS"/>
          <w:sz w:val="22"/>
          <w:szCs w:val="22"/>
          <w:highlight w:val="yellow"/>
          <w:lang w:val="ro-RO"/>
        </w:rPr>
        <w:t>.</w:t>
      </w:r>
      <w:r w:rsidR="00E60564">
        <w:rPr>
          <w:rFonts w:ascii="Trebuchet MS" w:hAnsi="Trebuchet MS"/>
          <w:sz w:val="22"/>
          <w:szCs w:val="22"/>
          <w:highlight w:val="yellow"/>
          <w:lang w:val="ro-RO"/>
        </w:rPr>
        <w:t xml:space="preserve"> De asemenea, în contextul implementării acestei măsuri, cele două instituții analizează posibilitatea demarării</w:t>
      </w:r>
      <w:r w:rsidR="001F23A2" w:rsidRPr="002F11E7">
        <w:rPr>
          <w:rFonts w:ascii="Trebuchet MS" w:hAnsi="Trebuchet MS"/>
          <w:sz w:val="22"/>
          <w:szCs w:val="22"/>
          <w:highlight w:val="yellow"/>
          <w:lang w:val="ro-RO"/>
        </w:rPr>
        <w:t xml:space="preserve"> unui proiect pilot de realizare a unui clasament al operatorilor economici în sistemul electronic SICAP</w:t>
      </w:r>
      <w:r w:rsidR="00E60564">
        <w:rPr>
          <w:rFonts w:ascii="Trebuchet MS" w:hAnsi="Trebuchet MS"/>
          <w:sz w:val="22"/>
          <w:szCs w:val="22"/>
          <w:highlight w:val="yellow"/>
          <w:lang w:val="ro-RO"/>
        </w:rPr>
        <w:t xml:space="preserve">, care să aibă în vedere, pentru început, </w:t>
      </w:r>
      <w:r w:rsidR="001F23A2" w:rsidRPr="002F11E7">
        <w:rPr>
          <w:rFonts w:ascii="Trebuchet MS" w:hAnsi="Trebuchet MS"/>
          <w:sz w:val="22"/>
          <w:szCs w:val="22"/>
          <w:highlight w:val="yellow"/>
          <w:lang w:val="ro-RO"/>
        </w:rPr>
        <w:t xml:space="preserve">doar </w:t>
      </w:r>
      <w:proofErr w:type="spellStart"/>
      <w:r w:rsidR="001F23A2" w:rsidRPr="002F11E7">
        <w:rPr>
          <w:rFonts w:ascii="Trebuchet MS" w:hAnsi="Trebuchet MS"/>
          <w:sz w:val="22"/>
          <w:szCs w:val="22"/>
          <w:highlight w:val="yellow"/>
          <w:lang w:val="ro-RO"/>
        </w:rPr>
        <w:t>achiziţiile</w:t>
      </w:r>
      <w:proofErr w:type="spellEnd"/>
      <w:r w:rsidR="001F23A2" w:rsidRPr="002F11E7">
        <w:rPr>
          <w:rFonts w:ascii="Trebuchet MS" w:hAnsi="Trebuchet MS"/>
          <w:sz w:val="22"/>
          <w:szCs w:val="22"/>
          <w:highlight w:val="yellow"/>
          <w:lang w:val="ro-RO"/>
        </w:rPr>
        <w:t xml:space="preserve"> directe efectuate prin sistemul</w:t>
      </w:r>
      <w:r w:rsidR="00E60564">
        <w:rPr>
          <w:rFonts w:ascii="Trebuchet MS" w:hAnsi="Trebuchet MS"/>
          <w:sz w:val="22"/>
          <w:szCs w:val="22"/>
          <w:highlight w:val="yellow"/>
          <w:lang w:val="ro-RO"/>
        </w:rPr>
        <w:t xml:space="preserve"> electronic</w:t>
      </w:r>
      <w:r w:rsidR="001F23A2" w:rsidRPr="002F11E7">
        <w:rPr>
          <w:rFonts w:ascii="Trebuchet MS" w:hAnsi="Trebuchet MS"/>
          <w:sz w:val="22"/>
          <w:szCs w:val="22"/>
          <w:highlight w:val="yellow"/>
          <w:lang w:val="ro-RO"/>
        </w:rPr>
        <w:t xml:space="preserve">, cu valori sub pragurile directivelor europene în materia </w:t>
      </w:r>
      <w:proofErr w:type="spellStart"/>
      <w:r w:rsidR="001F23A2" w:rsidRPr="002F11E7">
        <w:rPr>
          <w:rFonts w:ascii="Trebuchet MS" w:hAnsi="Trebuchet MS"/>
          <w:sz w:val="22"/>
          <w:szCs w:val="22"/>
          <w:highlight w:val="yellow"/>
          <w:lang w:val="ro-RO"/>
        </w:rPr>
        <w:t>achiziţiilor</w:t>
      </w:r>
      <w:proofErr w:type="spellEnd"/>
      <w:r w:rsidR="001F23A2" w:rsidRPr="002F11E7">
        <w:rPr>
          <w:rFonts w:ascii="Trebuchet MS" w:hAnsi="Trebuchet MS"/>
          <w:sz w:val="22"/>
          <w:szCs w:val="22"/>
          <w:highlight w:val="yellow"/>
          <w:lang w:val="ro-RO"/>
        </w:rPr>
        <w:t xml:space="preserve"> publice. </w:t>
      </w:r>
    </w:p>
    <w:p w:rsidR="005A6882" w:rsidRPr="00CD48F9" w:rsidRDefault="00292A71" w:rsidP="00972E3A">
      <w:pPr>
        <w:spacing w:after="120" w:line="276" w:lineRule="auto"/>
        <w:rPr>
          <w:lang w:val="ro-RO"/>
        </w:rPr>
      </w:pPr>
      <w:r w:rsidRPr="00CD48F9">
        <w:rPr>
          <w:lang w:val="ro-RO"/>
        </w:rPr>
        <w:t xml:space="preserve">Referitor la </w:t>
      </w:r>
      <w:r w:rsidR="00FE4C1C" w:rsidRPr="00CD48F9">
        <w:rPr>
          <w:b/>
          <w:lang w:val="ro-RO"/>
        </w:rPr>
        <w:t>măsur</w:t>
      </w:r>
      <w:r w:rsidRPr="00CD48F9">
        <w:rPr>
          <w:b/>
          <w:lang w:val="ro-RO"/>
        </w:rPr>
        <w:t>a</w:t>
      </w:r>
      <w:r w:rsidR="00FE4C1C" w:rsidRPr="00CD48F9">
        <w:rPr>
          <w:b/>
          <w:lang w:val="ro-RO"/>
        </w:rPr>
        <w:t xml:space="preserve"> 3.2.2.</w:t>
      </w:r>
      <w:r w:rsidR="00FE4C1C" w:rsidRPr="00CD48F9">
        <w:rPr>
          <w:lang w:val="ro-RO"/>
        </w:rPr>
        <w:t xml:space="preserve"> privind s</w:t>
      </w:r>
      <w:r w:rsidR="00012A0A" w:rsidRPr="00CD48F9">
        <w:rPr>
          <w:lang w:val="ro-RO"/>
        </w:rPr>
        <w:t xml:space="preserve">prijinirea </w:t>
      </w:r>
      <w:r w:rsidR="00FE4C1C" w:rsidRPr="00CD48F9">
        <w:rPr>
          <w:lang w:val="ro-RO"/>
        </w:rPr>
        <w:t>ANAP</w:t>
      </w:r>
      <w:r w:rsidR="00012A0A" w:rsidRPr="00CD48F9">
        <w:rPr>
          <w:lang w:val="ro-RO"/>
        </w:rPr>
        <w:t xml:space="preserve"> în organizarea periodică de cursuri de formare profesională multidisciplinară pentru promovarea bunelor practici naționale și internaționale în materia achizițiilor publice</w:t>
      </w:r>
      <w:r w:rsidR="00FE4C1C" w:rsidRPr="00CD48F9">
        <w:rPr>
          <w:lang w:val="ro-RO"/>
        </w:rPr>
        <w:t>,</w:t>
      </w:r>
      <w:r w:rsidRPr="00CD48F9">
        <w:rPr>
          <w:lang w:val="ro-RO"/>
        </w:rPr>
        <w:t xml:space="preserve"> menționăm că</w:t>
      </w:r>
      <w:r w:rsidR="00E83574" w:rsidRPr="00CD48F9">
        <w:rPr>
          <w:lang w:val="ro-RO"/>
        </w:rPr>
        <w:t>,</w:t>
      </w:r>
      <w:r w:rsidRPr="00CD48F9">
        <w:rPr>
          <w:lang w:val="ro-RO"/>
        </w:rPr>
        <w:t xml:space="preserve"> în anul 2019 nu au fost întreprinse demersuri</w:t>
      </w:r>
      <w:r w:rsidR="00E83574" w:rsidRPr="00CD48F9">
        <w:rPr>
          <w:lang w:val="ro-RO"/>
        </w:rPr>
        <w:t>,</w:t>
      </w:r>
      <w:r w:rsidRPr="00CD48F9">
        <w:rPr>
          <w:lang w:val="ro-RO"/>
        </w:rPr>
        <w:t xml:space="preserve"> </w:t>
      </w:r>
      <w:r w:rsidR="001F23A2" w:rsidRPr="00CD48F9">
        <w:rPr>
          <w:lang w:val="ro-RO"/>
        </w:rPr>
        <w:t>suplimentare</w:t>
      </w:r>
      <w:r w:rsidR="00E83574" w:rsidRPr="00CD48F9">
        <w:rPr>
          <w:lang w:val="ro-RO"/>
        </w:rPr>
        <w:t>,</w:t>
      </w:r>
      <w:r w:rsidR="00056C05" w:rsidRPr="00CD48F9">
        <w:rPr>
          <w:lang w:val="ro-RO"/>
        </w:rPr>
        <w:t xml:space="preserve"> pentru implementarea</w:t>
      </w:r>
      <w:r w:rsidRPr="00CD48F9">
        <w:rPr>
          <w:lang w:val="ro-RO"/>
        </w:rPr>
        <w:t xml:space="preserve"> acestei măsuri, neexistând o solicitare de sprijin din partea ANAP. </w:t>
      </w:r>
      <w:r w:rsidR="00774DA5" w:rsidRPr="00CD48F9">
        <w:rPr>
          <w:lang w:val="ro-RO"/>
        </w:rPr>
        <w:t xml:space="preserve"> </w:t>
      </w:r>
    </w:p>
    <w:p w:rsidR="004D24EB" w:rsidRPr="00CD48F9" w:rsidRDefault="004D24EB" w:rsidP="00972E3A">
      <w:pPr>
        <w:spacing w:after="120" w:line="276" w:lineRule="auto"/>
        <w:rPr>
          <w:lang w:val="ro-RO"/>
        </w:rPr>
      </w:pPr>
      <w:r w:rsidRPr="00CD48F9">
        <w:rPr>
          <w:lang w:val="ro-RO"/>
        </w:rPr>
        <w:t>În anul 2019</w:t>
      </w:r>
      <w:r w:rsidR="002F06CC" w:rsidRPr="00CD48F9">
        <w:rPr>
          <w:lang w:val="ro-RO"/>
        </w:rPr>
        <w:t>,</w:t>
      </w:r>
      <w:r w:rsidRPr="00CD48F9">
        <w:rPr>
          <w:lang w:val="ro-RO"/>
        </w:rPr>
        <w:t xml:space="preserve"> </w:t>
      </w:r>
      <w:r w:rsidR="002F06CC" w:rsidRPr="00CD48F9">
        <w:rPr>
          <w:lang w:val="ro-RO"/>
        </w:rPr>
        <w:t>la nivelul DNP au fost achiziționate</w:t>
      </w:r>
      <w:r w:rsidRPr="00CD48F9">
        <w:rPr>
          <w:lang w:val="ro-RO"/>
        </w:rPr>
        <w:t xml:space="preserve"> cursuri pentru promovarea bunelor practici naționale și internaționale în materia achizițiilor publice.</w:t>
      </w:r>
    </w:p>
    <w:p w:rsidR="00FA4607" w:rsidRPr="00CD48F9" w:rsidRDefault="00FA4607" w:rsidP="00972E3A">
      <w:pPr>
        <w:spacing w:after="120" w:line="276" w:lineRule="auto"/>
        <w:rPr>
          <w:lang w:val="ro-RO"/>
        </w:rPr>
      </w:pPr>
      <w:r w:rsidRPr="00CD48F9">
        <w:rPr>
          <w:lang w:val="ro-RO"/>
        </w:rPr>
        <w:t>ONRC nu a fost cooptat</w:t>
      </w:r>
      <w:r w:rsidR="002F06CC" w:rsidRPr="00CD48F9">
        <w:rPr>
          <w:lang w:val="ro-RO"/>
        </w:rPr>
        <w:t>ă,</w:t>
      </w:r>
      <w:r w:rsidRPr="00CD48F9">
        <w:rPr>
          <w:lang w:val="ro-RO"/>
        </w:rPr>
        <w:t xml:space="preserve"> de către ANAP</w:t>
      </w:r>
      <w:r w:rsidR="002F06CC" w:rsidRPr="00CD48F9">
        <w:rPr>
          <w:lang w:val="ro-RO"/>
        </w:rPr>
        <w:t>,</w:t>
      </w:r>
      <w:r w:rsidRPr="00CD48F9">
        <w:rPr>
          <w:lang w:val="ro-RO"/>
        </w:rPr>
        <w:t xml:space="preserve"> în astfel de activități.</w:t>
      </w:r>
    </w:p>
    <w:p w:rsidR="00213CC7" w:rsidRPr="00CD48F9" w:rsidRDefault="002F06CC" w:rsidP="00972E3A">
      <w:pPr>
        <w:spacing w:after="120" w:line="276" w:lineRule="auto"/>
        <w:rPr>
          <w:lang w:val="ro-RO"/>
        </w:rPr>
      </w:pPr>
      <w:r w:rsidRPr="00CD48F9">
        <w:rPr>
          <w:lang w:val="ro-RO"/>
        </w:rPr>
        <w:t xml:space="preserve">Referitor la implementarea </w:t>
      </w:r>
      <w:r w:rsidRPr="00CD48F9">
        <w:rPr>
          <w:b/>
          <w:lang w:val="ro-RO"/>
        </w:rPr>
        <w:t>măsurii</w:t>
      </w:r>
      <w:r w:rsidR="00D27136" w:rsidRPr="00CD48F9">
        <w:rPr>
          <w:b/>
          <w:lang w:val="ro-RO"/>
        </w:rPr>
        <w:t xml:space="preserve"> 3.2.3</w:t>
      </w:r>
      <w:r w:rsidRPr="00CD48F9">
        <w:rPr>
          <w:b/>
          <w:lang w:val="ro-RO"/>
        </w:rPr>
        <w:t>.</w:t>
      </w:r>
      <w:r w:rsidRPr="00CD48F9">
        <w:rPr>
          <w:lang w:val="ro-RO"/>
        </w:rPr>
        <w:t xml:space="preserve"> privind a</w:t>
      </w:r>
      <w:r w:rsidR="00012A0A" w:rsidRPr="00CD48F9">
        <w:rPr>
          <w:lang w:val="ro-RO"/>
        </w:rPr>
        <w:t>nalizarea practicii j</w:t>
      </w:r>
      <w:r w:rsidR="003B3B79" w:rsidRPr="00CD48F9">
        <w:rPr>
          <w:lang w:val="ro-RO"/>
        </w:rPr>
        <w:t>udiciare în materia</w:t>
      </w:r>
      <w:r w:rsidR="00012A0A" w:rsidRPr="00CD48F9">
        <w:rPr>
          <w:lang w:val="ro-RO"/>
        </w:rPr>
        <w:t xml:space="preserve"> achiziții</w:t>
      </w:r>
      <w:r w:rsidR="003B3B79" w:rsidRPr="00CD48F9">
        <w:rPr>
          <w:lang w:val="ro-RO"/>
        </w:rPr>
        <w:t>lor publice și a evaziunii fiscale</w:t>
      </w:r>
      <w:r w:rsidR="00012A0A" w:rsidRPr="00CD48F9">
        <w:rPr>
          <w:lang w:val="ro-RO"/>
        </w:rPr>
        <w:t>,</w:t>
      </w:r>
      <w:r w:rsidRPr="00CD48F9">
        <w:rPr>
          <w:lang w:val="ro-RO"/>
        </w:rPr>
        <w:t xml:space="preserve"> </w:t>
      </w:r>
      <w:proofErr w:type="spellStart"/>
      <w:r w:rsidRPr="00CD48F9">
        <w:rPr>
          <w:lang w:val="ro-RO"/>
        </w:rPr>
        <w:t>r</w:t>
      </w:r>
      <w:r w:rsidR="00012A0A" w:rsidRPr="00CD48F9">
        <w:rPr>
          <w:lang w:val="ro-RO"/>
        </w:rPr>
        <w:t>eprezentanţii</w:t>
      </w:r>
      <w:proofErr w:type="spellEnd"/>
      <w:r w:rsidR="00012A0A" w:rsidRPr="00CD48F9">
        <w:rPr>
          <w:lang w:val="ro-RO"/>
        </w:rPr>
        <w:t xml:space="preserve"> </w:t>
      </w:r>
      <w:r w:rsidRPr="00CD48F9">
        <w:rPr>
          <w:lang w:val="ro-RO"/>
        </w:rPr>
        <w:t>MJ</w:t>
      </w:r>
      <w:r w:rsidR="00012A0A" w:rsidRPr="00CD48F9">
        <w:rPr>
          <w:lang w:val="ro-RO"/>
        </w:rPr>
        <w:t xml:space="preserve"> împreună cu cei ai Parchetului de pe lângă Înalta Curte de </w:t>
      </w:r>
      <w:proofErr w:type="spellStart"/>
      <w:r w:rsidR="00012A0A" w:rsidRPr="00CD48F9">
        <w:rPr>
          <w:lang w:val="ro-RO"/>
        </w:rPr>
        <w:t>Casaţie</w:t>
      </w:r>
      <w:proofErr w:type="spellEnd"/>
      <w:r w:rsidR="00012A0A" w:rsidRPr="00CD48F9">
        <w:rPr>
          <w:lang w:val="ro-RO"/>
        </w:rPr>
        <w:t xml:space="preserve"> </w:t>
      </w:r>
      <w:proofErr w:type="spellStart"/>
      <w:r w:rsidR="00012A0A" w:rsidRPr="00CD48F9">
        <w:rPr>
          <w:lang w:val="ro-RO"/>
        </w:rPr>
        <w:t>şi</w:t>
      </w:r>
      <w:proofErr w:type="spellEnd"/>
      <w:r w:rsidR="00012A0A" w:rsidRPr="00CD48F9">
        <w:rPr>
          <w:lang w:val="ro-RO"/>
        </w:rPr>
        <w:t xml:space="preserve"> </w:t>
      </w:r>
      <w:proofErr w:type="spellStart"/>
      <w:r w:rsidR="00012A0A" w:rsidRPr="00CD48F9">
        <w:rPr>
          <w:lang w:val="ro-RO"/>
        </w:rPr>
        <w:t>Justiţie</w:t>
      </w:r>
      <w:proofErr w:type="spellEnd"/>
      <w:r w:rsidRPr="00CD48F9">
        <w:rPr>
          <w:lang w:val="ro-RO"/>
        </w:rPr>
        <w:t xml:space="preserve"> (PÎCCJ)</w:t>
      </w:r>
      <w:r w:rsidR="00012A0A" w:rsidRPr="00CD48F9">
        <w:rPr>
          <w:lang w:val="ro-RO"/>
        </w:rPr>
        <w:t xml:space="preserve"> au ef</w:t>
      </w:r>
      <w:r w:rsidR="00714039" w:rsidRPr="00CD48F9">
        <w:rPr>
          <w:lang w:val="ro-RO"/>
        </w:rPr>
        <w:t>ectuat</w:t>
      </w:r>
      <w:r w:rsidRPr="00CD48F9">
        <w:rPr>
          <w:lang w:val="ro-RO"/>
        </w:rPr>
        <w:t>,</w:t>
      </w:r>
      <w:r w:rsidR="00714039" w:rsidRPr="00CD48F9">
        <w:rPr>
          <w:lang w:val="ro-RO"/>
        </w:rPr>
        <w:t xml:space="preserve"> în cursul anului 2018</w:t>
      </w:r>
      <w:r w:rsidRPr="00CD48F9">
        <w:rPr>
          <w:lang w:val="ro-RO"/>
        </w:rPr>
        <w:t>,</w:t>
      </w:r>
      <w:r w:rsidR="00714039" w:rsidRPr="00CD48F9">
        <w:rPr>
          <w:lang w:val="ro-RO"/>
        </w:rPr>
        <w:t xml:space="preserve"> o</w:t>
      </w:r>
      <w:r w:rsidR="00012A0A" w:rsidRPr="00CD48F9">
        <w:rPr>
          <w:lang w:val="ro-RO"/>
        </w:rPr>
        <w:t xml:space="preserve"> analiză a hotărârilor </w:t>
      </w:r>
      <w:proofErr w:type="spellStart"/>
      <w:r w:rsidR="00012A0A" w:rsidRPr="00CD48F9">
        <w:rPr>
          <w:lang w:val="ro-RO"/>
        </w:rPr>
        <w:t>pronunţate</w:t>
      </w:r>
      <w:proofErr w:type="spellEnd"/>
      <w:r w:rsidR="00012A0A" w:rsidRPr="00CD48F9">
        <w:rPr>
          <w:lang w:val="ro-RO"/>
        </w:rPr>
        <w:t xml:space="preserve"> de </w:t>
      </w:r>
      <w:proofErr w:type="spellStart"/>
      <w:r w:rsidR="00012A0A" w:rsidRPr="00CD48F9">
        <w:rPr>
          <w:lang w:val="ro-RO"/>
        </w:rPr>
        <w:t>instanţele</w:t>
      </w:r>
      <w:proofErr w:type="spellEnd"/>
      <w:r w:rsidR="00012A0A" w:rsidRPr="00CD48F9">
        <w:rPr>
          <w:lang w:val="ro-RO"/>
        </w:rPr>
        <w:t xml:space="preserve"> de judecată </w:t>
      </w:r>
      <w:r w:rsidR="003B3B79" w:rsidRPr="00CD48F9">
        <w:rPr>
          <w:lang w:val="ro-RO"/>
        </w:rPr>
        <w:t>în perioada 2014 – 2018, ce au avut ca obiect</w:t>
      </w:r>
      <w:r w:rsidR="00012A0A" w:rsidRPr="00CD48F9">
        <w:rPr>
          <w:lang w:val="ro-RO"/>
        </w:rPr>
        <w:t xml:space="preserve"> </w:t>
      </w:r>
      <w:proofErr w:type="spellStart"/>
      <w:r w:rsidR="00012A0A" w:rsidRPr="00CD48F9">
        <w:rPr>
          <w:lang w:val="ro-RO"/>
        </w:rPr>
        <w:t>inf</w:t>
      </w:r>
      <w:r w:rsidR="003B3B79" w:rsidRPr="00CD48F9">
        <w:rPr>
          <w:lang w:val="ro-RO"/>
        </w:rPr>
        <w:t>racţiunile</w:t>
      </w:r>
      <w:proofErr w:type="spellEnd"/>
      <w:r w:rsidR="00BD1D96" w:rsidRPr="00CD48F9">
        <w:rPr>
          <w:lang w:val="ro-RO"/>
        </w:rPr>
        <w:t xml:space="preserve"> de evaziune fiscală</w:t>
      </w:r>
      <w:r w:rsidR="00012A0A" w:rsidRPr="00CD48F9">
        <w:rPr>
          <w:lang w:val="ro-RO"/>
        </w:rPr>
        <w:t xml:space="preserve">, în vederea identificării eventualelor </w:t>
      </w:r>
      <w:proofErr w:type="spellStart"/>
      <w:r w:rsidR="00033226" w:rsidRPr="00CD48F9">
        <w:rPr>
          <w:lang w:val="ro-RO"/>
        </w:rPr>
        <w:t>situaţii</w:t>
      </w:r>
      <w:proofErr w:type="spellEnd"/>
      <w:r w:rsidR="00033226" w:rsidRPr="00CD48F9">
        <w:rPr>
          <w:lang w:val="ro-RO"/>
        </w:rPr>
        <w:t xml:space="preserve"> de pract</w:t>
      </w:r>
      <w:r w:rsidRPr="00CD48F9">
        <w:rPr>
          <w:lang w:val="ro-RO"/>
        </w:rPr>
        <w:t>ică neunitară. În acest context</w:t>
      </w:r>
      <w:r w:rsidR="00033226" w:rsidRPr="00CD48F9">
        <w:rPr>
          <w:lang w:val="ro-RO"/>
        </w:rPr>
        <w:t xml:space="preserve"> au</w:t>
      </w:r>
      <w:r w:rsidR="00EB193A" w:rsidRPr="00CD48F9">
        <w:rPr>
          <w:lang w:val="ro-RO"/>
        </w:rPr>
        <w:t xml:space="preserve"> fost</w:t>
      </w:r>
      <w:r w:rsidR="00033226" w:rsidRPr="00CD48F9">
        <w:rPr>
          <w:lang w:val="ro-RO"/>
        </w:rPr>
        <w:t xml:space="preserve"> analizat</w:t>
      </w:r>
      <w:r w:rsidR="00EB193A" w:rsidRPr="00CD48F9">
        <w:rPr>
          <w:lang w:val="ro-RO"/>
        </w:rPr>
        <w:t>e</w:t>
      </w:r>
      <w:r w:rsidR="00033226" w:rsidRPr="00CD48F9">
        <w:rPr>
          <w:lang w:val="ro-RO"/>
        </w:rPr>
        <w:t xml:space="preserve"> aproximativ 330 de hotărâri. </w:t>
      </w:r>
      <w:r w:rsidR="006F1774" w:rsidRPr="00CD48F9">
        <w:rPr>
          <w:lang w:val="ro-RO"/>
        </w:rPr>
        <w:t>Pe baza analizei, în cursul anului 2019 au fost identificate cazuri</w:t>
      </w:r>
      <w:r w:rsidR="00213CC7" w:rsidRPr="00CD48F9">
        <w:rPr>
          <w:lang w:val="ro-RO"/>
        </w:rPr>
        <w:t xml:space="preserve"> de practică neunitară</w:t>
      </w:r>
      <w:r w:rsidR="003B3B79" w:rsidRPr="00CD48F9">
        <w:rPr>
          <w:lang w:val="ro-RO"/>
        </w:rPr>
        <w:t>,</w:t>
      </w:r>
      <w:r w:rsidR="006F1774" w:rsidRPr="00CD48F9">
        <w:rPr>
          <w:lang w:val="ro-RO"/>
        </w:rPr>
        <w:t xml:space="preserve"> urmând a fi întreprinse demersurile necesare </w:t>
      </w:r>
      <w:r w:rsidR="003B3B79" w:rsidRPr="00CD48F9">
        <w:rPr>
          <w:lang w:val="ro-RO"/>
        </w:rPr>
        <w:t>pentru stabilirea</w:t>
      </w:r>
      <w:r w:rsidR="006F1774" w:rsidRPr="00CD48F9">
        <w:rPr>
          <w:lang w:val="ro-RO"/>
        </w:rPr>
        <w:t xml:space="preserve"> oportunității</w:t>
      </w:r>
      <w:r w:rsidR="00213CC7" w:rsidRPr="00CD48F9">
        <w:rPr>
          <w:lang w:val="ro-RO"/>
        </w:rPr>
        <w:t xml:space="preserve"> </w:t>
      </w:r>
      <w:proofErr w:type="spellStart"/>
      <w:r w:rsidR="006F1774" w:rsidRPr="00CD48F9">
        <w:rPr>
          <w:lang w:val="ro-RO"/>
        </w:rPr>
        <w:t>iniţierii</w:t>
      </w:r>
      <w:proofErr w:type="spellEnd"/>
      <w:r w:rsidR="006F1774" w:rsidRPr="00CD48F9">
        <w:rPr>
          <w:lang w:val="ro-RO"/>
        </w:rPr>
        <w:t xml:space="preserve"> unei</w:t>
      </w:r>
      <w:r w:rsidR="00213CC7" w:rsidRPr="00CD48F9">
        <w:rPr>
          <w:lang w:val="ro-RO"/>
        </w:rPr>
        <w:t xml:space="preserve"> propuneri de promovare a un</w:t>
      </w:r>
      <w:r w:rsidR="006F1774" w:rsidRPr="00CD48F9">
        <w:rPr>
          <w:lang w:val="ro-RO"/>
        </w:rPr>
        <w:t>ui recurs</w:t>
      </w:r>
      <w:r w:rsidR="00666FF0" w:rsidRPr="00CD48F9">
        <w:rPr>
          <w:lang w:val="ro-RO"/>
        </w:rPr>
        <w:t xml:space="preserve"> în interesul legii</w:t>
      </w:r>
      <w:r w:rsidR="00213CC7" w:rsidRPr="00CD48F9">
        <w:rPr>
          <w:lang w:val="ro-RO"/>
        </w:rPr>
        <w:t xml:space="preserve">.  </w:t>
      </w:r>
    </w:p>
    <w:p w:rsidR="00597134" w:rsidRPr="00CD48F9" w:rsidRDefault="002F06CC" w:rsidP="00972E3A">
      <w:pPr>
        <w:spacing w:after="120" w:line="276" w:lineRule="auto"/>
        <w:rPr>
          <w:lang w:val="ro-RO"/>
        </w:rPr>
      </w:pPr>
      <w:r w:rsidRPr="00CD48F9">
        <w:rPr>
          <w:b/>
          <w:lang w:val="ro-RO"/>
        </w:rPr>
        <w:t>Măsura 3.2.4.</w:t>
      </w:r>
      <w:r w:rsidRPr="00CD48F9">
        <w:rPr>
          <w:lang w:val="ro-RO"/>
        </w:rPr>
        <w:t xml:space="preserve"> privind a</w:t>
      </w:r>
      <w:r w:rsidR="00D27136" w:rsidRPr="00CD48F9">
        <w:rPr>
          <w:lang w:val="ro-RO"/>
        </w:rPr>
        <w:t xml:space="preserve">sigurarea participării personalului implicat în activitatea de </w:t>
      </w:r>
      <w:proofErr w:type="spellStart"/>
      <w:r w:rsidR="00D27136" w:rsidRPr="00CD48F9">
        <w:rPr>
          <w:lang w:val="ro-RO"/>
        </w:rPr>
        <w:t>achiziţii</w:t>
      </w:r>
      <w:proofErr w:type="spellEnd"/>
      <w:r w:rsidR="00D27136" w:rsidRPr="00CD48F9">
        <w:rPr>
          <w:lang w:val="ro-RO"/>
        </w:rPr>
        <w:t xml:space="preserve"> </w:t>
      </w:r>
      <w:proofErr w:type="spellStart"/>
      <w:r w:rsidR="00D27136" w:rsidRPr="00CD48F9">
        <w:rPr>
          <w:lang w:val="ro-RO"/>
        </w:rPr>
        <w:t>şi</w:t>
      </w:r>
      <w:proofErr w:type="spellEnd"/>
      <w:r w:rsidR="00D27136" w:rsidRPr="00CD48F9">
        <w:rPr>
          <w:lang w:val="ro-RO"/>
        </w:rPr>
        <w:t xml:space="preserve"> a managerilor financiari din proiectele cu </w:t>
      </w:r>
      <w:proofErr w:type="spellStart"/>
      <w:r w:rsidR="00D27136" w:rsidRPr="00CD48F9">
        <w:rPr>
          <w:lang w:val="ro-RO"/>
        </w:rPr>
        <w:t>finanţare</w:t>
      </w:r>
      <w:proofErr w:type="spellEnd"/>
      <w:r w:rsidR="00D27136" w:rsidRPr="00CD48F9">
        <w:rPr>
          <w:lang w:val="ro-RO"/>
        </w:rPr>
        <w:t xml:space="preserve"> europeană nerambursabilă la cursuri de instruire </w:t>
      </w:r>
      <w:proofErr w:type="spellStart"/>
      <w:r w:rsidR="00D27136" w:rsidRPr="00CD48F9">
        <w:rPr>
          <w:lang w:val="ro-RO"/>
        </w:rPr>
        <w:t>şi</w:t>
      </w:r>
      <w:proofErr w:type="spellEnd"/>
      <w:r w:rsidR="00D27136" w:rsidRPr="00CD48F9">
        <w:rPr>
          <w:lang w:val="ro-RO"/>
        </w:rPr>
        <w:t xml:space="preserve"> </w:t>
      </w:r>
      <w:proofErr w:type="spellStart"/>
      <w:r w:rsidR="00D27136" w:rsidRPr="00CD48F9">
        <w:rPr>
          <w:lang w:val="ro-RO"/>
        </w:rPr>
        <w:t>perfecţionare</w:t>
      </w:r>
      <w:proofErr w:type="spellEnd"/>
      <w:r w:rsidR="00033226" w:rsidRPr="00CD48F9">
        <w:rPr>
          <w:lang w:val="ro-RO"/>
        </w:rPr>
        <w:t xml:space="preserve"> </w:t>
      </w:r>
      <w:r w:rsidRPr="00CD48F9">
        <w:rPr>
          <w:lang w:val="ro-RO"/>
        </w:rPr>
        <w:t>a fost implementată î</w:t>
      </w:r>
      <w:r w:rsidR="00F9518F" w:rsidRPr="00CD48F9">
        <w:rPr>
          <w:lang w:val="ro-RO"/>
        </w:rPr>
        <w:t>n anul 2019, 164 de persoane implicate</w:t>
      </w:r>
      <w:r w:rsidR="00AC6DF0" w:rsidRPr="00CD48F9">
        <w:rPr>
          <w:lang w:val="ro-RO"/>
        </w:rPr>
        <w:t xml:space="preserve"> în procesul de achiziție publică </w:t>
      </w:r>
      <w:r w:rsidR="00597134" w:rsidRPr="00CD48F9">
        <w:rPr>
          <w:lang w:val="ro-RO"/>
        </w:rPr>
        <w:t>din sistemu</w:t>
      </w:r>
      <w:r w:rsidRPr="00CD48F9">
        <w:rPr>
          <w:lang w:val="ro-RO"/>
        </w:rPr>
        <w:t>l administrației penitenciare</w:t>
      </w:r>
      <w:r w:rsidR="00597134" w:rsidRPr="00CD48F9">
        <w:rPr>
          <w:lang w:val="ro-RO"/>
        </w:rPr>
        <w:t xml:space="preserve"> particip</w:t>
      </w:r>
      <w:r w:rsidRPr="00CD48F9">
        <w:rPr>
          <w:lang w:val="ro-RO"/>
        </w:rPr>
        <w:t>ând</w:t>
      </w:r>
      <w:r w:rsidR="00597134" w:rsidRPr="00CD48F9">
        <w:rPr>
          <w:lang w:val="ro-RO"/>
        </w:rPr>
        <w:t xml:space="preserve"> la cursuri de instruire </w:t>
      </w:r>
      <w:proofErr w:type="spellStart"/>
      <w:r w:rsidR="00597134" w:rsidRPr="00CD48F9">
        <w:rPr>
          <w:lang w:val="ro-RO"/>
        </w:rPr>
        <w:t>şi</w:t>
      </w:r>
      <w:proofErr w:type="spellEnd"/>
      <w:r w:rsidR="00597134" w:rsidRPr="00CD48F9">
        <w:rPr>
          <w:lang w:val="ro-RO"/>
        </w:rPr>
        <w:t xml:space="preserve"> </w:t>
      </w:r>
      <w:proofErr w:type="spellStart"/>
      <w:r w:rsidR="00597134" w:rsidRPr="00CD48F9">
        <w:rPr>
          <w:lang w:val="ro-RO"/>
        </w:rPr>
        <w:t>perfecţionare</w:t>
      </w:r>
      <w:proofErr w:type="spellEnd"/>
      <w:r w:rsidR="00597134" w:rsidRPr="00CD48F9">
        <w:rPr>
          <w:lang w:val="ro-RO"/>
        </w:rPr>
        <w:t>.</w:t>
      </w:r>
    </w:p>
    <w:p w:rsidR="00B866BD" w:rsidRPr="00CD48F9" w:rsidRDefault="00D27136" w:rsidP="00972E3A">
      <w:pPr>
        <w:spacing w:after="120" w:line="276" w:lineRule="auto"/>
        <w:rPr>
          <w:lang w:val="ro-RO"/>
        </w:rPr>
      </w:pPr>
      <w:r w:rsidRPr="00CD48F9">
        <w:rPr>
          <w:b/>
          <w:lang w:val="ro-RO"/>
        </w:rPr>
        <w:t>Măsura 3.2.5.</w:t>
      </w:r>
      <w:r w:rsidRPr="00CD48F9">
        <w:rPr>
          <w:lang w:val="ro-RO"/>
        </w:rPr>
        <w:t xml:space="preserve"> privind verificarea conformității procedurilor de </w:t>
      </w:r>
      <w:proofErr w:type="spellStart"/>
      <w:r w:rsidRPr="00CD48F9">
        <w:rPr>
          <w:lang w:val="ro-RO"/>
        </w:rPr>
        <w:t>achiziţii</w:t>
      </w:r>
      <w:proofErr w:type="spellEnd"/>
      <w:r w:rsidRPr="00CD48F9">
        <w:rPr>
          <w:lang w:val="ro-RO"/>
        </w:rPr>
        <w:t xml:space="preserve"> publice efectuate în cadrul proiectelor </w:t>
      </w:r>
      <w:proofErr w:type="spellStart"/>
      <w:r w:rsidRPr="00CD48F9">
        <w:rPr>
          <w:lang w:val="ro-RO"/>
        </w:rPr>
        <w:t>finanţate</w:t>
      </w:r>
      <w:proofErr w:type="spellEnd"/>
      <w:r w:rsidRPr="00CD48F9">
        <w:rPr>
          <w:lang w:val="ro-RO"/>
        </w:rPr>
        <w:t xml:space="preserve"> prin programele de finanțare a fost implementată</w:t>
      </w:r>
      <w:r w:rsidR="00B866BD" w:rsidRPr="00CD48F9">
        <w:rPr>
          <w:lang w:val="ro-RO"/>
        </w:rPr>
        <w:t xml:space="preserve"> în anul 2019</w:t>
      </w:r>
      <w:r w:rsidR="00781D2F" w:rsidRPr="00CD48F9">
        <w:rPr>
          <w:lang w:val="ro-RO"/>
        </w:rPr>
        <w:t xml:space="preserve">, </w:t>
      </w:r>
      <w:r w:rsidR="00B866BD" w:rsidRPr="00CD48F9">
        <w:rPr>
          <w:lang w:val="ro-RO"/>
        </w:rPr>
        <w:t>fiind verificate,</w:t>
      </w:r>
      <w:r w:rsidRPr="00CD48F9">
        <w:rPr>
          <w:lang w:val="ro-RO"/>
        </w:rPr>
        <w:t xml:space="preserve"> </w:t>
      </w:r>
      <w:r w:rsidR="00B866BD" w:rsidRPr="00CD48F9">
        <w:rPr>
          <w:lang w:val="ro-RO"/>
        </w:rPr>
        <w:t>în cadrul</w:t>
      </w:r>
      <w:r w:rsidRPr="00CD48F9">
        <w:rPr>
          <w:lang w:val="ro-RO"/>
        </w:rPr>
        <w:t xml:space="preserve"> Mec</w:t>
      </w:r>
      <w:r w:rsidR="00B866BD" w:rsidRPr="00CD48F9">
        <w:rPr>
          <w:lang w:val="ro-RO"/>
        </w:rPr>
        <w:t>anismul Financiar Norvegian 2014</w:t>
      </w:r>
      <w:r w:rsidRPr="00CD48F9">
        <w:rPr>
          <w:lang w:val="ro-RO"/>
        </w:rPr>
        <w:t xml:space="preserve"> </w:t>
      </w:r>
      <w:r w:rsidR="00B866BD" w:rsidRPr="00CD48F9">
        <w:rPr>
          <w:lang w:val="ro-RO"/>
        </w:rPr>
        <w:t>– 2021</w:t>
      </w:r>
      <w:r w:rsidRPr="00CD48F9">
        <w:rPr>
          <w:lang w:val="ro-RO"/>
        </w:rPr>
        <w:t xml:space="preserve"> </w:t>
      </w:r>
      <w:r w:rsidR="001534C9" w:rsidRPr="00CD48F9">
        <w:rPr>
          <w:lang w:val="ro-RO"/>
        </w:rPr>
        <w:t>pentru care MJ este Operator de P</w:t>
      </w:r>
      <w:r w:rsidRPr="00CD48F9">
        <w:rPr>
          <w:lang w:val="ro-RO"/>
        </w:rPr>
        <w:t>rogram</w:t>
      </w:r>
      <w:r w:rsidR="00B866BD" w:rsidRPr="00CD48F9">
        <w:rPr>
          <w:lang w:val="ro-RO"/>
        </w:rPr>
        <w:t>, un număr de 39 de dosare, dintre care:</w:t>
      </w:r>
    </w:p>
    <w:p w:rsidR="00D27136" w:rsidRPr="00CD48F9" w:rsidRDefault="00B866BD" w:rsidP="00972E3A">
      <w:pPr>
        <w:spacing w:after="120" w:line="276" w:lineRule="auto"/>
        <w:rPr>
          <w:lang w:val="ro-RO"/>
        </w:rPr>
      </w:pPr>
      <w:r w:rsidRPr="00CD48F9">
        <w:rPr>
          <w:lang w:val="ro-RO"/>
        </w:rPr>
        <w:t>- o procedură de achiziție publică verificată (procedură simplificată derulată la nivelul unui Promotor de Proiect);</w:t>
      </w:r>
    </w:p>
    <w:p w:rsidR="00B866BD" w:rsidRPr="00CD48F9" w:rsidRDefault="00B866BD" w:rsidP="00972E3A">
      <w:pPr>
        <w:spacing w:after="120" w:line="276" w:lineRule="auto"/>
        <w:rPr>
          <w:lang w:val="ro-RO"/>
        </w:rPr>
      </w:pPr>
      <w:r w:rsidRPr="00CD48F9">
        <w:rPr>
          <w:lang w:val="ro-RO"/>
        </w:rPr>
        <w:lastRenderedPageBreak/>
        <w:t>- 34 de achiziții directe și achiziții de servicii cuprinse în Anexa 2 la Legea nr. 98/2016 (derulate la nivelul Promotorilor de Proiecte și la nivelul Operatorului de Program).</w:t>
      </w:r>
    </w:p>
    <w:p w:rsidR="00B866BD" w:rsidRPr="00CD48F9" w:rsidRDefault="00B866BD" w:rsidP="00972E3A">
      <w:pPr>
        <w:spacing w:after="120" w:line="276" w:lineRule="auto"/>
        <w:rPr>
          <w:lang w:val="ro-RO"/>
        </w:rPr>
      </w:pPr>
      <w:r w:rsidRPr="00CD48F9">
        <w:rPr>
          <w:lang w:val="ro-RO"/>
        </w:rPr>
        <w:t xml:space="preserve">În urma verificărilor efectuate în cursul anului 2019, la un număr de 4 achiziții publice derulate la nivelul Promotorilor de Proiecte s-a constatat încălcarea cadrului legal aplicabil în materia achizițiilor publice, precum și al programului de finanțare și/sau dispozițiile contractelor/actelor administrative de finanțare. Pentru aceste cazuri, verificările sunt în curs de desfășurare, conform procedurii. </w:t>
      </w:r>
    </w:p>
    <w:p w:rsidR="001534C9" w:rsidRPr="00CD48F9" w:rsidRDefault="00CB03C6" w:rsidP="00972E3A">
      <w:pPr>
        <w:pStyle w:val="Title"/>
        <w:spacing w:before="0" w:after="120" w:line="276" w:lineRule="auto"/>
        <w:jc w:val="both"/>
        <w:rPr>
          <w:rFonts w:ascii="Trebuchet MS" w:hAnsi="Trebuchet MS"/>
          <w:sz w:val="22"/>
          <w:szCs w:val="22"/>
          <w:lang w:val="ro-RO"/>
        </w:rPr>
      </w:pPr>
      <w:bookmarkStart w:id="23" w:name="_Toc3376524"/>
      <w:r w:rsidRPr="00CD48F9">
        <w:rPr>
          <w:rFonts w:ascii="Trebuchet MS" w:hAnsi="Trebuchet MS"/>
          <w:sz w:val="22"/>
          <w:szCs w:val="22"/>
          <w:lang w:val="ro-RO"/>
        </w:rPr>
        <w:t>5</w:t>
      </w:r>
      <w:r w:rsidR="00C9538D" w:rsidRPr="00CD48F9">
        <w:rPr>
          <w:rFonts w:ascii="Trebuchet MS" w:hAnsi="Trebuchet MS"/>
          <w:sz w:val="22"/>
          <w:szCs w:val="22"/>
          <w:lang w:val="ro-RO"/>
        </w:rPr>
        <w:t>.3. Creșterea integrității, reducerea vulnerabilităților și a riscurilor de corupție în mediul de afaceri</w:t>
      </w:r>
      <w:r w:rsidR="006E5F2C" w:rsidRPr="00CD48F9">
        <w:rPr>
          <w:rFonts w:ascii="Trebuchet MS" w:hAnsi="Trebuchet MS"/>
          <w:sz w:val="22"/>
          <w:szCs w:val="22"/>
          <w:lang w:val="ro-RO"/>
        </w:rPr>
        <w:t xml:space="preserve"> (Obiectivul specific 3.3</w:t>
      </w:r>
      <w:r w:rsidR="002F1DFC" w:rsidRPr="00CD48F9">
        <w:rPr>
          <w:rFonts w:ascii="Trebuchet MS" w:hAnsi="Trebuchet MS"/>
          <w:sz w:val="22"/>
          <w:szCs w:val="22"/>
          <w:lang w:val="ro-RO"/>
        </w:rPr>
        <w:t>)</w:t>
      </w:r>
      <w:bookmarkEnd w:id="23"/>
    </w:p>
    <w:p w:rsidR="001C3CB9" w:rsidRPr="00CD48F9" w:rsidRDefault="002F06CC" w:rsidP="00972E3A">
      <w:pPr>
        <w:spacing w:after="120" w:line="276" w:lineRule="auto"/>
        <w:rPr>
          <w:lang w:val="ro-RO"/>
        </w:rPr>
      </w:pPr>
      <w:r w:rsidRPr="00CD48F9">
        <w:rPr>
          <w:lang w:val="ro-RO"/>
        </w:rPr>
        <w:t xml:space="preserve">Referitor la </w:t>
      </w:r>
      <w:r w:rsidRPr="00CD48F9">
        <w:rPr>
          <w:b/>
          <w:lang w:val="ro-RO"/>
        </w:rPr>
        <w:t>măsura 3.3.1.</w:t>
      </w:r>
      <w:r w:rsidRPr="00CD48F9">
        <w:rPr>
          <w:lang w:val="ro-RO"/>
        </w:rPr>
        <w:t xml:space="preserve"> privind c</w:t>
      </w:r>
      <w:r w:rsidR="004934CD" w:rsidRPr="00CD48F9">
        <w:rPr>
          <w:lang w:val="ro-RO"/>
        </w:rPr>
        <w:t>ontinuarea demersurilor României de a deveni membru cu drepturi depline al OCDE în special, în Grupul de lucru Anti-mită</w:t>
      </w:r>
      <w:r w:rsidRPr="00CD48F9">
        <w:rPr>
          <w:lang w:val="ro-RO"/>
        </w:rPr>
        <w:t>, î</w:t>
      </w:r>
      <w:r w:rsidR="001C3CB9" w:rsidRPr="00CD48F9">
        <w:rPr>
          <w:lang w:val="ro-RO"/>
        </w:rPr>
        <w:t xml:space="preserve">n cadrul </w:t>
      </w:r>
      <w:proofErr w:type="spellStart"/>
      <w:r w:rsidR="001C3CB9" w:rsidRPr="00CD48F9">
        <w:rPr>
          <w:lang w:val="ro-RO"/>
        </w:rPr>
        <w:t>şedinţei</w:t>
      </w:r>
      <w:proofErr w:type="spellEnd"/>
      <w:r w:rsidR="001C3CB9" w:rsidRPr="00CD48F9">
        <w:rPr>
          <w:lang w:val="ro-RO"/>
        </w:rPr>
        <w:t xml:space="preserve"> din data de 12 iunie </w:t>
      </w:r>
      <w:r w:rsidR="008B69D5" w:rsidRPr="00CD48F9">
        <w:rPr>
          <w:lang w:val="ro-RO"/>
        </w:rPr>
        <w:t>2019</w:t>
      </w:r>
      <w:r w:rsidR="001C3CB9" w:rsidRPr="00CD48F9">
        <w:rPr>
          <w:lang w:val="ro-RO"/>
        </w:rPr>
        <w:t xml:space="preserve">, Guvernul României a adoptat Hotărârea Guvernului nr. 394/2019 privind aprobarea </w:t>
      </w:r>
      <w:proofErr w:type="spellStart"/>
      <w:r w:rsidR="001C3CB9" w:rsidRPr="00CD48F9">
        <w:rPr>
          <w:lang w:val="ro-RO"/>
        </w:rPr>
        <w:t>plăţii</w:t>
      </w:r>
      <w:proofErr w:type="spellEnd"/>
      <w:r w:rsidR="001C3CB9" w:rsidRPr="00CD48F9">
        <w:rPr>
          <w:lang w:val="ro-RO"/>
        </w:rPr>
        <w:t xml:space="preserve"> </w:t>
      </w:r>
      <w:proofErr w:type="spellStart"/>
      <w:r w:rsidR="001C3CB9" w:rsidRPr="00CD48F9">
        <w:rPr>
          <w:lang w:val="ro-RO"/>
        </w:rPr>
        <w:t>contribuţiei</w:t>
      </w:r>
      <w:proofErr w:type="spellEnd"/>
      <w:r w:rsidR="001C3CB9" w:rsidRPr="00CD48F9">
        <w:rPr>
          <w:lang w:val="ro-RO"/>
        </w:rPr>
        <w:t xml:space="preserve"> financiare voluntare a României la OCDE în vederea </w:t>
      </w:r>
      <w:proofErr w:type="spellStart"/>
      <w:r w:rsidR="001C3CB9" w:rsidRPr="00CD48F9">
        <w:rPr>
          <w:lang w:val="ro-RO"/>
        </w:rPr>
        <w:t>finanţării</w:t>
      </w:r>
      <w:proofErr w:type="spellEnd"/>
      <w:r w:rsidR="001C3CB9" w:rsidRPr="00CD48F9">
        <w:rPr>
          <w:lang w:val="ro-RO"/>
        </w:rPr>
        <w:t xml:space="preserve"> participării României, prin Ministerul </w:t>
      </w:r>
      <w:proofErr w:type="spellStart"/>
      <w:r w:rsidR="001C3CB9" w:rsidRPr="00CD48F9">
        <w:rPr>
          <w:lang w:val="ro-RO"/>
        </w:rPr>
        <w:t>Justiţiei</w:t>
      </w:r>
      <w:proofErr w:type="spellEnd"/>
      <w:r w:rsidR="001C3CB9" w:rsidRPr="00CD48F9">
        <w:rPr>
          <w:lang w:val="ro-RO"/>
        </w:rPr>
        <w:t xml:space="preserve">,   într-un proiect de </w:t>
      </w:r>
      <w:proofErr w:type="spellStart"/>
      <w:r w:rsidR="001C3CB9" w:rsidRPr="00CD48F9">
        <w:rPr>
          <w:lang w:val="ro-RO"/>
        </w:rPr>
        <w:t>asistenţă</w:t>
      </w:r>
      <w:proofErr w:type="spellEnd"/>
      <w:r w:rsidR="001C3CB9" w:rsidRPr="00CD48F9">
        <w:rPr>
          <w:lang w:val="ro-RO"/>
        </w:rPr>
        <w:t xml:space="preserve"> tehnică privind conformitatea </w:t>
      </w:r>
      <w:proofErr w:type="spellStart"/>
      <w:r w:rsidR="001C3CB9" w:rsidRPr="00CD48F9">
        <w:rPr>
          <w:lang w:val="ro-RO"/>
        </w:rPr>
        <w:t>legislaţiei</w:t>
      </w:r>
      <w:proofErr w:type="spellEnd"/>
      <w:r w:rsidR="001C3CB9" w:rsidRPr="00CD48F9">
        <w:rPr>
          <w:lang w:val="ro-RO"/>
        </w:rPr>
        <w:t xml:space="preserve"> </w:t>
      </w:r>
      <w:proofErr w:type="spellStart"/>
      <w:r w:rsidR="001C3CB9" w:rsidRPr="00CD48F9">
        <w:rPr>
          <w:lang w:val="ro-RO"/>
        </w:rPr>
        <w:t>naţionale</w:t>
      </w:r>
      <w:proofErr w:type="spellEnd"/>
      <w:r w:rsidR="001C3CB9" w:rsidRPr="00CD48F9">
        <w:rPr>
          <w:lang w:val="ro-RO"/>
        </w:rPr>
        <w:t xml:space="preserve"> cu prevederile </w:t>
      </w:r>
      <w:proofErr w:type="spellStart"/>
      <w:r w:rsidR="001C3CB9" w:rsidRPr="00CD48F9">
        <w:rPr>
          <w:lang w:val="ro-RO"/>
        </w:rPr>
        <w:t>Convenţiei</w:t>
      </w:r>
      <w:proofErr w:type="spellEnd"/>
      <w:r w:rsidR="001C3CB9" w:rsidRPr="00CD48F9">
        <w:rPr>
          <w:lang w:val="ro-RO"/>
        </w:rPr>
        <w:t xml:space="preserve"> OCDE privind combaterea mituirii </w:t>
      </w:r>
      <w:proofErr w:type="spellStart"/>
      <w:r w:rsidR="001C3CB9" w:rsidRPr="00CD48F9">
        <w:rPr>
          <w:lang w:val="ro-RO"/>
        </w:rPr>
        <w:t>funcţionarilor</w:t>
      </w:r>
      <w:proofErr w:type="spellEnd"/>
      <w:r w:rsidR="001C3CB9" w:rsidRPr="00CD48F9">
        <w:rPr>
          <w:lang w:val="ro-RO"/>
        </w:rPr>
        <w:t xml:space="preserve"> publici în cadrul </w:t>
      </w:r>
      <w:proofErr w:type="spellStart"/>
      <w:r w:rsidR="001C3CB9" w:rsidRPr="00CD48F9">
        <w:rPr>
          <w:lang w:val="ro-RO"/>
        </w:rPr>
        <w:t>tranzacţiilor</w:t>
      </w:r>
      <w:proofErr w:type="spellEnd"/>
      <w:r w:rsidR="001C3CB9" w:rsidRPr="00CD48F9">
        <w:rPr>
          <w:lang w:val="ro-RO"/>
        </w:rPr>
        <w:t xml:space="preserve"> comerciale </w:t>
      </w:r>
      <w:proofErr w:type="spellStart"/>
      <w:r w:rsidR="001C3CB9" w:rsidRPr="00CD48F9">
        <w:rPr>
          <w:lang w:val="ro-RO"/>
        </w:rPr>
        <w:t>internaţionale</w:t>
      </w:r>
      <w:proofErr w:type="spellEnd"/>
      <w:r w:rsidR="001C3CB9" w:rsidRPr="00CD48F9">
        <w:rPr>
          <w:lang w:val="ro-RO"/>
        </w:rPr>
        <w:t xml:space="preserve">. În vederea </w:t>
      </w:r>
      <w:proofErr w:type="spellStart"/>
      <w:r w:rsidR="001C3CB9" w:rsidRPr="00CD48F9">
        <w:rPr>
          <w:lang w:val="ro-RO"/>
        </w:rPr>
        <w:t>plăţii</w:t>
      </w:r>
      <w:proofErr w:type="spellEnd"/>
      <w:r w:rsidR="001C3CB9" w:rsidRPr="00CD48F9">
        <w:rPr>
          <w:lang w:val="ro-RO"/>
        </w:rPr>
        <w:t xml:space="preserve"> </w:t>
      </w:r>
      <w:proofErr w:type="spellStart"/>
      <w:r w:rsidR="001C3CB9" w:rsidRPr="00CD48F9">
        <w:rPr>
          <w:lang w:val="ro-RO"/>
        </w:rPr>
        <w:t>contribuţiei</w:t>
      </w:r>
      <w:proofErr w:type="spellEnd"/>
      <w:r w:rsidR="001C3CB9" w:rsidRPr="00CD48F9">
        <w:rPr>
          <w:lang w:val="ro-RO"/>
        </w:rPr>
        <w:t xml:space="preserve"> voluntare către OCDE, MJ a transmis scrisoarea ofertă către OCDE la data de 13 august </w:t>
      </w:r>
      <w:r w:rsidR="00CA2436" w:rsidRPr="00CD48F9">
        <w:rPr>
          <w:lang w:val="ro-RO"/>
        </w:rPr>
        <w:t>2019</w:t>
      </w:r>
      <w:r w:rsidR="001C3CB9" w:rsidRPr="00CD48F9">
        <w:rPr>
          <w:lang w:val="ro-RO"/>
        </w:rPr>
        <w:t xml:space="preserve">, pas procedural necesar emiterii unei facturi de către </w:t>
      </w:r>
      <w:proofErr w:type="spellStart"/>
      <w:r w:rsidR="001C3CB9" w:rsidRPr="00CD48F9">
        <w:rPr>
          <w:lang w:val="ro-RO"/>
        </w:rPr>
        <w:t>organizaţie</w:t>
      </w:r>
      <w:proofErr w:type="spellEnd"/>
      <w:r w:rsidR="001C3CB9" w:rsidRPr="00CD48F9">
        <w:rPr>
          <w:lang w:val="ro-RO"/>
        </w:rPr>
        <w:t>. Factura a fost emisă la data de 16 august, iar plata s-a realizat.</w:t>
      </w:r>
    </w:p>
    <w:p w:rsidR="001C3CB9" w:rsidRPr="00CD48F9" w:rsidRDefault="001C3CB9" w:rsidP="00972E3A">
      <w:pPr>
        <w:spacing w:after="120" w:line="276" w:lineRule="auto"/>
        <w:rPr>
          <w:lang w:val="ro-RO"/>
        </w:rPr>
      </w:pPr>
      <w:r w:rsidRPr="00CD48F9">
        <w:rPr>
          <w:lang w:val="ro-RO"/>
        </w:rPr>
        <w:t xml:space="preserve">Proiectul de </w:t>
      </w:r>
      <w:proofErr w:type="spellStart"/>
      <w:r w:rsidRPr="00CD48F9">
        <w:rPr>
          <w:lang w:val="ro-RO"/>
        </w:rPr>
        <w:t>asistenţă</w:t>
      </w:r>
      <w:proofErr w:type="spellEnd"/>
      <w:r w:rsidRPr="00CD48F9">
        <w:rPr>
          <w:lang w:val="ro-RO"/>
        </w:rPr>
        <w:t xml:space="preserve"> tehnică privind conformitatea </w:t>
      </w:r>
      <w:proofErr w:type="spellStart"/>
      <w:r w:rsidRPr="00CD48F9">
        <w:rPr>
          <w:lang w:val="ro-RO"/>
        </w:rPr>
        <w:t>legislaţiei</w:t>
      </w:r>
      <w:proofErr w:type="spellEnd"/>
      <w:r w:rsidRPr="00CD48F9">
        <w:rPr>
          <w:lang w:val="ro-RO"/>
        </w:rPr>
        <w:t xml:space="preserve"> </w:t>
      </w:r>
      <w:proofErr w:type="spellStart"/>
      <w:r w:rsidRPr="00CD48F9">
        <w:rPr>
          <w:lang w:val="ro-RO"/>
        </w:rPr>
        <w:t>naţionale</w:t>
      </w:r>
      <w:proofErr w:type="spellEnd"/>
      <w:r w:rsidRPr="00CD48F9">
        <w:rPr>
          <w:lang w:val="ro-RO"/>
        </w:rPr>
        <w:t xml:space="preserve"> cu prevederile </w:t>
      </w:r>
      <w:proofErr w:type="spellStart"/>
      <w:r w:rsidRPr="00CD48F9">
        <w:rPr>
          <w:lang w:val="ro-RO"/>
        </w:rPr>
        <w:t>Convenţiei</w:t>
      </w:r>
      <w:proofErr w:type="spellEnd"/>
      <w:r w:rsidRPr="00CD48F9">
        <w:rPr>
          <w:lang w:val="ro-RO"/>
        </w:rPr>
        <w:t xml:space="preserve"> OCDE privind combaterea mituirii </w:t>
      </w:r>
      <w:proofErr w:type="spellStart"/>
      <w:r w:rsidRPr="00CD48F9">
        <w:rPr>
          <w:lang w:val="ro-RO"/>
        </w:rPr>
        <w:t>funcţionarilor</w:t>
      </w:r>
      <w:proofErr w:type="spellEnd"/>
      <w:r w:rsidRPr="00CD48F9">
        <w:rPr>
          <w:lang w:val="ro-RO"/>
        </w:rPr>
        <w:t xml:space="preserve"> publici în cadrul </w:t>
      </w:r>
      <w:proofErr w:type="spellStart"/>
      <w:r w:rsidRPr="00CD48F9">
        <w:rPr>
          <w:lang w:val="ro-RO"/>
        </w:rPr>
        <w:t>tranzacţiilor</w:t>
      </w:r>
      <w:proofErr w:type="spellEnd"/>
      <w:r w:rsidRPr="00CD48F9">
        <w:rPr>
          <w:lang w:val="ro-RO"/>
        </w:rPr>
        <w:t xml:space="preserve"> comerciale </w:t>
      </w:r>
      <w:proofErr w:type="spellStart"/>
      <w:r w:rsidRPr="00CD48F9">
        <w:rPr>
          <w:lang w:val="ro-RO"/>
        </w:rPr>
        <w:t>internaţionale</w:t>
      </w:r>
      <w:proofErr w:type="spellEnd"/>
      <w:r w:rsidRPr="00CD48F9">
        <w:rPr>
          <w:lang w:val="ro-RO"/>
        </w:rPr>
        <w:t xml:space="preserve"> presupune următoarele </w:t>
      </w:r>
      <w:proofErr w:type="spellStart"/>
      <w:r w:rsidRPr="00CD48F9">
        <w:rPr>
          <w:lang w:val="ro-RO"/>
        </w:rPr>
        <w:t>activităţi</w:t>
      </w:r>
      <w:proofErr w:type="spellEnd"/>
      <w:r w:rsidRPr="00CD48F9">
        <w:rPr>
          <w:lang w:val="ro-RO"/>
        </w:rPr>
        <w:t xml:space="preserve">: </w:t>
      </w:r>
    </w:p>
    <w:p w:rsidR="001C3CB9" w:rsidRPr="00CD48F9" w:rsidRDefault="0004172B" w:rsidP="0080034B">
      <w:pPr>
        <w:pStyle w:val="ListParagraph"/>
        <w:numPr>
          <w:ilvl w:val="0"/>
          <w:numId w:val="15"/>
        </w:numPr>
        <w:spacing w:after="120" w:line="276" w:lineRule="auto"/>
        <w:ind w:left="289" w:hanging="289"/>
        <w:contextualSpacing w:val="0"/>
        <w:rPr>
          <w:lang w:val="ro-RO"/>
        </w:rPr>
      </w:pPr>
      <w:r w:rsidRPr="00CD48F9">
        <w:rPr>
          <w:lang w:val="ro-RO"/>
        </w:rPr>
        <w:t>p</w:t>
      </w:r>
      <w:r w:rsidR="001C3CB9" w:rsidRPr="00CD48F9">
        <w:rPr>
          <w:lang w:val="ro-RO"/>
        </w:rPr>
        <w:t xml:space="preserve">regătirea, de către Secretariatul OCDE, a unui chestionar privind legislația anti-mită din România, precum și celelalte criterii de aderare la WGB;  </w:t>
      </w:r>
    </w:p>
    <w:p w:rsidR="001C3CB9" w:rsidRPr="00CD48F9" w:rsidRDefault="0004172B" w:rsidP="0080034B">
      <w:pPr>
        <w:pStyle w:val="ListParagraph"/>
        <w:numPr>
          <w:ilvl w:val="0"/>
          <w:numId w:val="15"/>
        </w:numPr>
        <w:spacing w:after="120" w:line="276" w:lineRule="auto"/>
        <w:ind w:left="289" w:hanging="289"/>
        <w:contextualSpacing w:val="0"/>
        <w:rPr>
          <w:lang w:val="ro-RO"/>
        </w:rPr>
      </w:pPr>
      <w:r w:rsidRPr="00CD48F9">
        <w:rPr>
          <w:lang w:val="ro-RO"/>
        </w:rPr>
        <w:t>î</w:t>
      </w:r>
      <w:r w:rsidR="001C3CB9" w:rsidRPr="00CD48F9">
        <w:rPr>
          <w:lang w:val="ro-RO"/>
        </w:rPr>
        <w:t>n baza chestionarului completat de instituțiile române și a celorlalte documente relevante transmise în timpul proiectului și răspunsurilor la întrebările suplimentare formulate, Secretariatul OCDE va pregăti un raport analitic care va descrie potențialii pași pentru conformarea legislației și practicilor naționale cu standardele WGB;</w:t>
      </w:r>
    </w:p>
    <w:p w:rsidR="00907C3B" w:rsidRPr="00CD48F9" w:rsidRDefault="00877285" w:rsidP="0080034B">
      <w:pPr>
        <w:pStyle w:val="ListParagraph"/>
        <w:numPr>
          <w:ilvl w:val="0"/>
          <w:numId w:val="15"/>
        </w:numPr>
        <w:spacing w:after="120" w:line="276" w:lineRule="auto"/>
        <w:ind w:left="289" w:hanging="289"/>
        <w:contextualSpacing w:val="0"/>
        <w:rPr>
          <w:lang w:val="ro-RO"/>
        </w:rPr>
      </w:pPr>
      <w:r w:rsidRPr="00CD48F9">
        <w:rPr>
          <w:lang w:val="ro-RO"/>
        </w:rPr>
        <w:t>s</w:t>
      </w:r>
      <w:r w:rsidR="001C3CB9" w:rsidRPr="00CD48F9">
        <w:rPr>
          <w:lang w:val="ro-RO"/>
        </w:rPr>
        <w:t>ecretariatul OCDE va organiza, în parteneriat cu MJ, o întâlnire la nivel tehnic în România (de două sau de trei zile), care va avea drept scop discutarea concluziilor proiectului de raport analitic cu instituțiile relevante. MJ va asigura participarea reprezentanților instituțiilor relevante din România;</w:t>
      </w:r>
    </w:p>
    <w:p w:rsidR="001C3CB9" w:rsidRPr="00CD48F9" w:rsidRDefault="00877285" w:rsidP="0080034B">
      <w:pPr>
        <w:pStyle w:val="ListParagraph"/>
        <w:numPr>
          <w:ilvl w:val="0"/>
          <w:numId w:val="15"/>
        </w:numPr>
        <w:spacing w:after="120" w:line="276" w:lineRule="auto"/>
        <w:ind w:left="289" w:hanging="289"/>
        <w:contextualSpacing w:val="0"/>
        <w:rPr>
          <w:lang w:val="ro-RO"/>
        </w:rPr>
      </w:pPr>
      <w:r w:rsidRPr="00CD48F9">
        <w:rPr>
          <w:lang w:val="ro-RO"/>
        </w:rPr>
        <w:t>u</w:t>
      </w:r>
      <w:r w:rsidR="001C3CB9" w:rsidRPr="00CD48F9">
        <w:rPr>
          <w:lang w:val="ro-RO"/>
        </w:rPr>
        <w:t xml:space="preserve">rmare întâlnirii </w:t>
      </w:r>
      <w:proofErr w:type="spellStart"/>
      <w:r w:rsidR="001C3CB9" w:rsidRPr="00CD48F9">
        <w:rPr>
          <w:lang w:val="ro-RO"/>
        </w:rPr>
        <w:t>menţionate</w:t>
      </w:r>
      <w:proofErr w:type="spellEnd"/>
      <w:r w:rsidR="001C3CB9" w:rsidRPr="00CD48F9">
        <w:rPr>
          <w:lang w:val="ro-RO"/>
        </w:rPr>
        <w:t xml:space="preserve">, Secretariatul OCDE va finaliza raportul tehnic </w:t>
      </w:r>
      <w:proofErr w:type="spellStart"/>
      <w:r w:rsidR="001C3CB9" w:rsidRPr="00CD48F9">
        <w:rPr>
          <w:lang w:val="ro-RO"/>
        </w:rPr>
        <w:t>şi</w:t>
      </w:r>
      <w:proofErr w:type="spellEnd"/>
      <w:r w:rsidR="001C3CB9" w:rsidRPr="00CD48F9">
        <w:rPr>
          <w:lang w:val="ro-RO"/>
        </w:rPr>
        <w:t xml:space="preserve"> îl va comunica </w:t>
      </w:r>
      <w:proofErr w:type="spellStart"/>
      <w:r w:rsidR="001C3CB9" w:rsidRPr="00CD48F9">
        <w:rPr>
          <w:lang w:val="ro-RO"/>
        </w:rPr>
        <w:t>părţii</w:t>
      </w:r>
      <w:proofErr w:type="spellEnd"/>
      <w:r w:rsidR="001C3CB9" w:rsidRPr="00CD48F9">
        <w:rPr>
          <w:lang w:val="ro-RO"/>
        </w:rPr>
        <w:t xml:space="preserve"> române.</w:t>
      </w:r>
    </w:p>
    <w:p w:rsidR="001C3CB9" w:rsidRPr="00CD48F9" w:rsidRDefault="001C3CB9" w:rsidP="00972E3A">
      <w:pPr>
        <w:spacing w:after="120" w:line="276" w:lineRule="auto"/>
        <w:rPr>
          <w:lang w:val="ro-RO"/>
        </w:rPr>
      </w:pPr>
      <w:r w:rsidRPr="00CD48F9">
        <w:rPr>
          <w:lang w:val="ro-RO"/>
        </w:rPr>
        <w:t>Implementarea proiectului va continua în anul 2020 prin realizarea activit</w:t>
      </w:r>
      <w:r w:rsidR="00877285" w:rsidRPr="00CD48F9">
        <w:rPr>
          <w:lang w:val="ro-RO"/>
        </w:rPr>
        <w:t>ăț</w:t>
      </w:r>
      <w:r w:rsidRPr="00CD48F9">
        <w:rPr>
          <w:lang w:val="ro-RO"/>
        </w:rPr>
        <w:t>ilor prevăzute în calendar.</w:t>
      </w:r>
    </w:p>
    <w:p w:rsidR="00A34E89" w:rsidRPr="00CD48F9" w:rsidRDefault="00056C05" w:rsidP="00972E3A">
      <w:pPr>
        <w:spacing w:after="120" w:line="276" w:lineRule="auto"/>
        <w:rPr>
          <w:lang w:val="ro-RO"/>
        </w:rPr>
      </w:pPr>
      <w:r w:rsidRPr="00CD48F9">
        <w:rPr>
          <w:lang w:val="ro-RO"/>
        </w:rPr>
        <w:t>Referitor la</w:t>
      </w:r>
      <w:r w:rsidR="002F06CC" w:rsidRPr="00CD48F9">
        <w:rPr>
          <w:lang w:val="ro-RO"/>
        </w:rPr>
        <w:t xml:space="preserve"> </w:t>
      </w:r>
      <w:r w:rsidR="002F06CC" w:rsidRPr="00CD48F9">
        <w:rPr>
          <w:b/>
          <w:lang w:val="ro-RO"/>
        </w:rPr>
        <w:t>măsur</w:t>
      </w:r>
      <w:r w:rsidRPr="00CD48F9">
        <w:rPr>
          <w:b/>
          <w:lang w:val="ro-RO"/>
        </w:rPr>
        <w:t>a</w:t>
      </w:r>
      <w:r w:rsidR="00A34E89" w:rsidRPr="00CD48F9">
        <w:rPr>
          <w:b/>
          <w:lang w:val="ro-RO"/>
        </w:rPr>
        <w:t xml:space="preserve"> 3.3.2.</w:t>
      </w:r>
      <w:r w:rsidR="00A34E89" w:rsidRPr="00CD48F9">
        <w:rPr>
          <w:lang w:val="ro-RO"/>
        </w:rPr>
        <w:t xml:space="preserve"> </w:t>
      </w:r>
      <w:r w:rsidRPr="00CD48F9">
        <w:rPr>
          <w:lang w:val="ro-RO"/>
        </w:rPr>
        <w:t>privind</w:t>
      </w:r>
      <w:r w:rsidR="00DD35B4" w:rsidRPr="00CD48F9">
        <w:rPr>
          <w:lang w:val="ro-RO"/>
        </w:rPr>
        <w:t xml:space="preserve"> </w:t>
      </w:r>
      <w:r w:rsidRPr="00CD48F9">
        <w:rPr>
          <w:lang w:val="ro-RO"/>
        </w:rPr>
        <w:t>implementarea</w:t>
      </w:r>
      <w:r w:rsidR="00A34E89" w:rsidRPr="00CD48F9">
        <w:rPr>
          <w:lang w:val="ro-RO"/>
        </w:rPr>
        <w:t xml:space="preserve"> planurilor de integritate la nivelul întreprinderilor publice</w:t>
      </w:r>
      <w:r w:rsidR="00DD35B4" w:rsidRPr="00CD48F9">
        <w:rPr>
          <w:lang w:val="ro-RO"/>
        </w:rPr>
        <w:t>,</w:t>
      </w:r>
      <w:r w:rsidR="00A34E89" w:rsidRPr="00CD48F9">
        <w:rPr>
          <w:lang w:val="ro-RO"/>
        </w:rPr>
        <w:t xml:space="preserve"> până la sfârșitul anului 2019</w:t>
      </w:r>
      <w:r w:rsidRPr="00CD48F9">
        <w:rPr>
          <w:lang w:val="ro-RO"/>
        </w:rPr>
        <w:t>, ST SNA</w:t>
      </w:r>
      <w:r w:rsidR="00A34E89" w:rsidRPr="00CD48F9">
        <w:rPr>
          <w:lang w:val="ro-RO"/>
        </w:rPr>
        <w:t xml:space="preserve"> </w:t>
      </w:r>
      <w:r w:rsidRPr="00CD48F9">
        <w:rPr>
          <w:lang w:val="ro-RO"/>
        </w:rPr>
        <w:t xml:space="preserve">a </w:t>
      </w:r>
      <w:r w:rsidR="00A34E89" w:rsidRPr="00CD48F9">
        <w:rPr>
          <w:lang w:val="ro-RO"/>
        </w:rPr>
        <w:t>centralizat 73 de planuri de integritate ale întreprinderilor publice</w:t>
      </w:r>
      <w:r w:rsidR="00680DCE" w:rsidRPr="00CD48F9">
        <w:rPr>
          <w:lang w:val="ro-RO"/>
        </w:rPr>
        <w:t xml:space="preserve"> și 99</w:t>
      </w:r>
      <w:r w:rsidR="003B3B79" w:rsidRPr="00CD48F9">
        <w:rPr>
          <w:lang w:val="ro-RO"/>
        </w:rPr>
        <w:t xml:space="preserve"> de</w:t>
      </w:r>
      <w:r w:rsidR="00680DCE" w:rsidRPr="00CD48F9">
        <w:rPr>
          <w:lang w:val="ro-RO"/>
        </w:rPr>
        <w:t xml:space="preserve"> declarații de aderare la SNA 2016-2020</w:t>
      </w:r>
      <w:r w:rsidR="00681DDF" w:rsidRPr="00CD48F9">
        <w:rPr>
          <w:lang w:val="ro-RO"/>
        </w:rPr>
        <w:t>.</w:t>
      </w:r>
      <w:r w:rsidR="00681DDF" w:rsidRPr="00CD48F9">
        <w:rPr>
          <w:rFonts w:eastAsia="Calibri"/>
          <w:lang w:val="ro-RO"/>
        </w:rPr>
        <w:t xml:space="preserve"> </w:t>
      </w:r>
    </w:p>
    <w:p w:rsidR="00907C3B" w:rsidRPr="00CD48F9" w:rsidRDefault="00907C3B" w:rsidP="00972E3A">
      <w:pPr>
        <w:spacing w:after="120" w:line="276" w:lineRule="auto"/>
        <w:rPr>
          <w:rFonts w:eastAsia="Calibri"/>
          <w:lang w:val="ro-RO"/>
        </w:rPr>
      </w:pPr>
      <w:r w:rsidRPr="00CD48F9">
        <w:rPr>
          <w:lang w:val="ro-RO"/>
        </w:rPr>
        <w:t xml:space="preserve">În contextul implementării </w:t>
      </w:r>
      <w:r w:rsidRPr="00CD48F9">
        <w:rPr>
          <w:b/>
          <w:lang w:val="ro-RO"/>
        </w:rPr>
        <w:t>măsuri</w:t>
      </w:r>
      <w:r w:rsidR="00DD35B4" w:rsidRPr="00CD48F9">
        <w:rPr>
          <w:b/>
          <w:lang w:val="ro-RO"/>
        </w:rPr>
        <w:t>i 3.3.3</w:t>
      </w:r>
      <w:r w:rsidR="00DD35B4" w:rsidRPr="00CD48F9">
        <w:rPr>
          <w:lang w:val="ro-RO"/>
        </w:rPr>
        <w:t xml:space="preserve"> privind facilitarea schimbului de bune practici în implementarea programelor de integritate între mediul privat și sectorul public și </w:t>
      </w:r>
      <w:r w:rsidR="00DD35B4" w:rsidRPr="00CD48F9">
        <w:rPr>
          <w:b/>
          <w:lang w:val="ro-RO"/>
        </w:rPr>
        <w:t>măsurii 3.3.5.</w:t>
      </w:r>
      <w:r w:rsidR="00DD35B4" w:rsidRPr="00CD48F9">
        <w:rPr>
          <w:lang w:val="ro-RO"/>
        </w:rPr>
        <w:t xml:space="preserve"> privind diseminarea politicilor și programelor anti-mită dezvoltate la nivelul companiilor, </w:t>
      </w:r>
      <w:r w:rsidRPr="00CD48F9">
        <w:rPr>
          <w:rFonts w:eastAsia="Calibri"/>
          <w:lang w:val="ro-RO"/>
        </w:rPr>
        <w:t>MJ și Camera de Comerț Americană în Romania (</w:t>
      </w:r>
      <w:proofErr w:type="spellStart"/>
      <w:r w:rsidRPr="00CD48F9">
        <w:rPr>
          <w:rFonts w:eastAsia="Calibri"/>
          <w:lang w:val="ro-RO"/>
        </w:rPr>
        <w:t>AmCham</w:t>
      </w:r>
      <w:proofErr w:type="spellEnd"/>
      <w:r w:rsidRPr="00CD48F9">
        <w:rPr>
          <w:rFonts w:eastAsia="Calibri"/>
          <w:lang w:val="ro-RO"/>
        </w:rPr>
        <w:t xml:space="preserve">) au continuat proiectul privind consolidarea integrității în întreprinderile publice (prezentarea </w:t>
      </w:r>
      <w:proofErr w:type="spellStart"/>
      <w:r w:rsidRPr="00CD48F9">
        <w:rPr>
          <w:rFonts w:eastAsia="Calibri"/>
          <w:lang w:val="ro-RO"/>
        </w:rPr>
        <w:t>şi</w:t>
      </w:r>
      <w:proofErr w:type="spellEnd"/>
      <w:r w:rsidRPr="00CD48F9">
        <w:rPr>
          <w:rFonts w:eastAsia="Calibri"/>
          <w:lang w:val="ro-RO"/>
        </w:rPr>
        <w:t xml:space="preserve"> diseminarea de către organizatori a instrumentelor proprii dezvoltate, precum metodologia standard de evaluare a riscurilor de </w:t>
      </w:r>
      <w:proofErr w:type="spellStart"/>
      <w:r w:rsidRPr="00CD48F9">
        <w:rPr>
          <w:rFonts w:eastAsia="Calibri"/>
          <w:lang w:val="ro-RO"/>
        </w:rPr>
        <w:t>corupţie</w:t>
      </w:r>
      <w:proofErr w:type="spellEnd"/>
      <w:r w:rsidRPr="00CD48F9">
        <w:rPr>
          <w:rFonts w:eastAsia="Calibri"/>
          <w:lang w:val="ro-RO"/>
        </w:rPr>
        <w:t xml:space="preserve"> </w:t>
      </w:r>
      <w:proofErr w:type="spellStart"/>
      <w:r w:rsidRPr="00CD48F9">
        <w:rPr>
          <w:rFonts w:eastAsia="Calibri"/>
          <w:lang w:val="ro-RO"/>
        </w:rPr>
        <w:t>şi</w:t>
      </w:r>
      <w:proofErr w:type="spellEnd"/>
      <w:r w:rsidRPr="00CD48F9">
        <w:rPr>
          <w:rFonts w:eastAsia="Calibri"/>
          <w:lang w:val="ro-RO"/>
        </w:rPr>
        <w:t xml:space="preserve"> metodologia de evaluare a incidentelor de </w:t>
      </w:r>
      <w:r w:rsidRPr="00CD48F9">
        <w:rPr>
          <w:rFonts w:eastAsia="Calibri"/>
          <w:lang w:val="ro-RO"/>
        </w:rPr>
        <w:lastRenderedPageBreak/>
        <w:t xml:space="preserve">integritate, Codul de </w:t>
      </w:r>
      <w:proofErr w:type="spellStart"/>
      <w:r w:rsidRPr="00CD48F9">
        <w:rPr>
          <w:rFonts w:eastAsia="Calibri"/>
          <w:lang w:val="ro-RO"/>
        </w:rPr>
        <w:t>guvernanţa</w:t>
      </w:r>
      <w:proofErr w:type="spellEnd"/>
      <w:r w:rsidRPr="00CD48F9">
        <w:rPr>
          <w:rFonts w:eastAsia="Calibri"/>
          <w:lang w:val="ro-RO"/>
        </w:rPr>
        <w:t xml:space="preserve"> corporativă - 2010, Principiile </w:t>
      </w:r>
      <w:proofErr w:type="spellStart"/>
      <w:r w:rsidRPr="00CD48F9">
        <w:rPr>
          <w:rFonts w:eastAsia="Calibri"/>
          <w:lang w:val="ro-RO"/>
        </w:rPr>
        <w:t>anticorupţie</w:t>
      </w:r>
      <w:proofErr w:type="spellEnd"/>
      <w:r w:rsidRPr="00CD48F9">
        <w:rPr>
          <w:rFonts w:eastAsia="Calibri"/>
          <w:lang w:val="ro-RO"/>
        </w:rPr>
        <w:t xml:space="preserve"> – 2012, Ghidul de </w:t>
      </w:r>
      <w:proofErr w:type="spellStart"/>
      <w:r w:rsidRPr="00CD48F9">
        <w:rPr>
          <w:rFonts w:eastAsia="Calibri"/>
          <w:lang w:val="ro-RO"/>
        </w:rPr>
        <w:t>investiţii</w:t>
      </w:r>
      <w:proofErr w:type="spellEnd"/>
      <w:r w:rsidRPr="00CD48F9">
        <w:rPr>
          <w:rFonts w:eastAsia="Calibri"/>
          <w:lang w:val="ro-RO"/>
        </w:rPr>
        <w:t xml:space="preserve"> în comunitate – 2015, Ghidul de evaluare a </w:t>
      </w:r>
      <w:proofErr w:type="spellStart"/>
      <w:r w:rsidRPr="00CD48F9">
        <w:rPr>
          <w:rFonts w:eastAsia="Calibri"/>
          <w:lang w:val="ro-RO"/>
        </w:rPr>
        <w:t>integrităţii</w:t>
      </w:r>
      <w:proofErr w:type="spellEnd"/>
      <w:r w:rsidRPr="00CD48F9">
        <w:rPr>
          <w:rFonts w:eastAsia="Calibri"/>
          <w:lang w:val="ro-RO"/>
        </w:rPr>
        <w:t xml:space="preserve"> partenerilor de afaceri – 2016, Ghidul privind conflictele de interese – 2017). </w:t>
      </w:r>
    </w:p>
    <w:p w:rsidR="00907C3B" w:rsidRPr="00CD48F9" w:rsidRDefault="00DD35B4" w:rsidP="00972E3A">
      <w:pPr>
        <w:spacing w:after="120" w:line="276" w:lineRule="auto"/>
        <w:rPr>
          <w:lang w:val="ro-RO"/>
        </w:rPr>
      </w:pPr>
      <w:r w:rsidRPr="00CD48F9">
        <w:rPr>
          <w:rFonts w:eastAsia="Calibri"/>
          <w:lang w:val="ro-RO"/>
        </w:rPr>
        <w:t>Î</w:t>
      </w:r>
      <w:r w:rsidR="00907C3B" w:rsidRPr="00CD48F9">
        <w:rPr>
          <w:rFonts w:eastAsia="Calibri"/>
          <w:lang w:val="ro-RO"/>
        </w:rPr>
        <w:t>n aprilie și noiembrie 2019, au fost organizate două sesiun</w:t>
      </w:r>
      <w:r w:rsidR="00C65704" w:rsidRPr="00CD48F9">
        <w:rPr>
          <w:rFonts w:eastAsia="Calibri"/>
          <w:lang w:val="ro-RO"/>
        </w:rPr>
        <w:t>i</w:t>
      </w:r>
      <w:r w:rsidR="00907C3B" w:rsidRPr="00CD48F9">
        <w:rPr>
          <w:rFonts w:eastAsia="Calibri"/>
          <w:lang w:val="ro-RO"/>
        </w:rPr>
        <w:t xml:space="preserve"> de formare a formatorilor, la care au participat reprezentanți ai întreprinderilor publice subordonate, coordonate sau aflate sub autoritatea Ministerului Finanțelor Publice și Ministerului Economiei. Temele abordate au fost:</w:t>
      </w:r>
      <w:r w:rsidR="00907C3B" w:rsidRPr="00CD48F9">
        <w:rPr>
          <w:lang w:val="ro-RO"/>
        </w:rPr>
        <w:t xml:space="preserve"> conformitatea, etica în afaceri, conflictele de interese, mita, stimulentele, ospitalitatea, intermedierea și lobby-</w:t>
      </w:r>
      <w:proofErr w:type="spellStart"/>
      <w:r w:rsidR="00907C3B" w:rsidRPr="00CD48F9">
        <w:rPr>
          <w:lang w:val="ro-RO"/>
        </w:rPr>
        <w:t>ul</w:t>
      </w:r>
      <w:proofErr w:type="spellEnd"/>
      <w:r w:rsidR="00907C3B" w:rsidRPr="00CD48F9">
        <w:rPr>
          <w:lang w:val="ro-RO"/>
        </w:rPr>
        <w:t xml:space="preserve">. </w:t>
      </w:r>
      <w:r w:rsidR="00907C3B" w:rsidRPr="00CD48F9">
        <w:rPr>
          <w:rFonts w:eastAsia="Calibri"/>
          <w:noProof/>
          <w:lang w:val="ro-RO"/>
        </w:rPr>
        <w:t xml:space="preserve">În urma discuţiilor purtate, a fost dezvoltat documentul intitulat </w:t>
      </w:r>
      <w:r w:rsidR="00907C3B" w:rsidRPr="00CD48F9">
        <w:rPr>
          <w:rFonts w:eastAsia="Calibri"/>
          <w:i/>
          <w:noProof/>
          <w:lang w:val="ro-RO"/>
        </w:rPr>
        <w:t>„Promovarea unei culturi de integritate în cadrul întreprinderilor publice”</w:t>
      </w:r>
      <w:r w:rsidR="00907C3B" w:rsidRPr="00CD48F9">
        <w:rPr>
          <w:rFonts w:eastAsia="Calibri"/>
          <w:noProof/>
          <w:lang w:val="ro-RO"/>
        </w:rPr>
        <w:t xml:space="preserve">, ce prezintă aspecte de ordin procedural referitoare la: respectarea obligaţiilor stabilite de SNA 2016-2020 în sarcina întreprinderilor publice; promovarea unei politici interne de integritate la nivel organizaţional. Documentul urmează a fi finalizat cu participanţii la acest demers ce </w:t>
      </w:r>
      <w:r w:rsidR="00907C3B" w:rsidRPr="00CD48F9">
        <w:rPr>
          <w:lang w:val="ro-RO"/>
        </w:rPr>
        <w:t>va continua și în anul 2020.</w:t>
      </w:r>
    </w:p>
    <w:p w:rsidR="00870230" w:rsidRPr="00CD48F9" w:rsidRDefault="00DD35B4" w:rsidP="00972E3A">
      <w:pPr>
        <w:spacing w:after="120" w:line="276" w:lineRule="auto"/>
        <w:rPr>
          <w:lang w:val="ro-RO"/>
        </w:rPr>
      </w:pPr>
      <w:r w:rsidRPr="00CD48F9">
        <w:rPr>
          <w:lang w:val="ro-RO"/>
        </w:rPr>
        <w:t xml:space="preserve">Referitor la implementarea </w:t>
      </w:r>
      <w:r w:rsidRPr="00CD48F9">
        <w:rPr>
          <w:b/>
          <w:lang w:val="ro-RO"/>
        </w:rPr>
        <w:t>măsurii 3.3.4.</w:t>
      </w:r>
      <w:r w:rsidRPr="00CD48F9">
        <w:rPr>
          <w:lang w:val="ro-RO"/>
        </w:rPr>
        <w:t xml:space="preserve"> privind organizarea de consultări publice periodice între reprezentanții sectorului public și mediul de afaceri, î</w:t>
      </w:r>
      <w:r w:rsidR="00870230" w:rsidRPr="00CD48F9">
        <w:rPr>
          <w:lang w:val="ro-RO"/>
        </w:rPr>
        <w:t xml:space="preserve">n aprilie </w:t>
      </w:r>
      <w:proofErr w:type="spellStart"/>
      <w:r w:rsidR="00870230" w:rsidRPr="00CD48F9">
        <w:rPr>
          <w:lang w:val="ro-RO"/>
        </w:rPr>
        <w:t>şi</w:t>
      </w:r>
      <w:proofErr w:type="spellEnd"/>
      <w:r w:rsidR="00870230" w:rsidRPr="00CD48F9">
        <w:rPr>
          <w:lang w:val="ro-RO"/>
        </w:rPr>
        <w:t xml:space="preserve"> decemb</w:t>
      </w:r>
      <w:r w:rsidR="00907C3B" w:rsidRPr="00CD48F9">
        <w:rPr>
          <w:lang w:val="ro-RO"/>
        </w:rPr>
        <w:t>rie 2019</w:t>
      </w:r>
      <w:r w:rsidR="00870230" w:rsidRPr="00CD48F9">
        <w:rPr>
          <w:lang w:val="ro-RO"/>
        </w:rPr>
        <w:t>, MJ, p</w:t>
      </w:r>
      <w:r w:rsidR="001D573B" w:rsidRPr="00CD48F9">
        <w:rPr>
          <w:lang w:val="ro-RO"/>
        </w:rPr>
        <w:t>rin Secretariatul tehnic al SNA</w:t>
      </w:r>
      <w:r w:rsidR="00870230" w:rsidRPr="00CD48F9">
        <w:rPr>
          <w:lang w:val="ro-RO"/>
        </w:rPr>
        <w:t xml:space="preserve"> a organ</w:t>
      </w:r>
      <w:r w:rsidR="002F637F" w:rsidRPr="00CD48F9">
        <w:rPr>
          <w:lang w:val="ro-RO"/>
        </w:rPr>
        <w:t>izat două</w:t>
      </w:r>
      <w:r w:rsidR="00870230" w:rsidRPr="00CD48F9">
        <w:rPr>
          <w:lang w:val="ro-RO"/>
        </w:rPr>
        <w:t xml:space="preserve"> reuniuni ale platformei de cooperare a mediului de afaceri, a </w:t>
      </w:r>
      <w:proofErr w:type="spellStart"/>
      <w:r w:rsidR="00870230" w:rsidRPr="00CD48F9">
        <w:rPr>
          <w:lang w:val="ro-RO"/>
        </w:rPr>
        <w:t>administraţiei</w:t>
      </w:r>
      <w:proofErr w:type="spellEnd"/>
      <w:r w:rsidR="00870230" w:rsidRPr="00CD48F9">
        <w:rPr>
          <w:lang w:val="ro-RO"/>
        </w:rPr>
        <w:t xml:space="preserve"> publice centrale </w:t>
      </w:r>
      <w:proofErr w:type="spellStart"/>
      <w:r w:rsidR="00870230" w:rsidRPr="00CD48F9">
        <w:rPr>
          <w:lang w:val="ro-RO"/>
        </w:rPr>
        <w:t>şi</w:t>
      </w:r>
      <w:proofErr w:type="spellEnd"/>
      <w:r w:rsidR="00870230" w:rsidRPr="00CD48F9">
        <w:rPr>
          <w:lang w:val="ro-RO"/>
        </w:rPr>
        <w:t xml:space="preserve"> a </w:t>
      </w:r>
      <w:proofErr w:type="spellStart"/>
      <w:r w:rsidR="00870230" w:rsidRPr="00CD48F9">
        <w:rPr>
          <w:lang w:val="ro-RO"/>
        </w:rPr>
        <w:t>autorităţilor</w:t>
      </w:r>
      <w:proofErr w:type="spellEnd"/>
      <w:r w:rsidR="00870230" w:rsidRPr="00CD48F9">
        <w:rPr>
          <w:lang w:val="ro-RO"/>
        </w:rPr>
        <w:t xml:space="preserve"> independente </w:t>
      </w:r>
      <w:proofErr w:type="spellStart"/>
      <w:r w:rsidR="00870230" w:rsidRPr="00CD48F9">
        <w:rPr>
          <w:lang w:val="ro-RO"/>
        </w:rPr>
        <w:t>şi</w:t>
      </w:r>
      <w:proofErr w:type="spellEnd"/>
      <w:r w:rsidR="00870230" w:rsidRPr="00CD48F9">
        <w:rPr>
          <w:lang w:val="ro-RO"/>
        </w:rPr>
        <w:t xml:space="preserve"> a </w:t>
      </w:r>
      <w:proofErr w:type="spellStart"/>
      <w:r w:rsidR="00870230" w:rsidRPr="00CD48F9">
        <w:rPr>
          <w:lang w:val="ro-RO"/>
        </w:rPr>
        <w:t>instituţiilor</w:t>
      </w:r>
      <w:proofErr w:type="spellEnd"/>
      <w:r w:rsidR="00870230" w:rsidRPr="00CD48F9">
        <w:rPr>
          <w:lang w:val="ro-RO"/>
        </w:rPr>
        <w:t xml:space="preserve"> </w:t>
      </w:r>
      <w:proofErr w:type="spellStart"/>
      <w:r w:rsidR="00870230" w:rsidRPr="00CD48F9">
        <w:rPr>
          <w:lang w:val="ro-RO"/>
        </w:rPr>
        <w:t>anticorupţie</w:t>
      </w:r>
      <w:proofErr w:type="spellEnd"/>
      <w:r w:rsidR="00870230" w:rsidRPr="00CD48F9">
        <w:rPr>
          <w:lang w:val="ro-RO"/>
        </w:rPr>
        <w:t xml:space="preserve">. </w:t>
      </w:r>
      <w:r w:rsidR="00444D72" w:rsidRPr="00CD48F9">
        <w:rPr>
          <w:lang w:val="ro-RO"/>
        </w:rPr>
        <w:t xml:space="preserve">Consultări similare au fost purtate cu ocazia celor două ediții ale meselor rotunde </w:t>
      </w:r>
      <w:r w:rsidR="004D27DE" w:rsidRPr="00CD48F9">
        <w:rPr>
          <w:lang w:val="ro-RO"/>
        </w:rPr>
        <w:t>menționate la măsura 3.3.3.</w:t>
      </w:r>
      <w:r w:rsidR="00444D72" w:rsidRPr="00CD48F9">
        <w:rPr>
          <w:lang w:val="ro-RO"/>
        </w:rPr>
        <w:t>.</w:t>
      </w:r>
    </w:p>
    <w:p w:rsidR="001E32D8" w:rsidRPr="00CD48F9" w:rsidRDefault="00DD35B4" w:rsidP="0079734D">
      <w:pPr>
        <w:tabs>
          <w:tab w:val="left" w:pos="2940"/>
        </w:tabs>
        <w:spacing w:after="120" w:line="276" w:lineRule="auto"/>
        <w:rPr>
          <w:noProof/>
          <w:lang w:val="ro-RO"/>
        </w:rPr>
      </w:pPr>
      <w:r w:rsidRPr="00CD48F9">
        <w:rPr>
          <w:b/>
          <w:lang w:val="ro-RO"/>
        </w:rPr>
        <w:t>Măsura 3.3.6.</w:t>
      </w:r>
      <w:r w:rsidRPr="00CD48F9">
        <w:rPr>
          <w:lang w:val="ro-RO"/>
        </w:rPr>
        <w:t xml:space="preserve"> privind i</w:t>
      </w:r>
      <w:r w:rsidR="002F637F" w:rsidRPr="00CD48F9">
        <w:rPr>
          <w:lang w:val="ro-RO"/>
        </w:rPr>
        <w:t>nițierea dialogului cu autoritățile de reglementare în domenii precum energia, resursele minerale, în vederea implementării standardelor legale de integritate</w:t>
      </w:r>
      <w:r w:rsidRPr="00CD48F9">
        <w:rPr>
          <w:lang w:val="ro-RO"/>
        </w:rPr>
        <w:t xml:space="preserve"> a fost implementată </w:t>
      </w:r>
      <w:r w:rsidR="00907C3B" w:rsidRPr="00CD48F9">
        <w:rPr>
          <w:lang w:val="ro-RO"/>
        </w:rPr>
        <w:t>prin invitarea l</w:t>
      </w:r>
      <w:r w:rsidR="00BC0F85" w:rsidRPr="00CD48F9">
        <w:rPr>
          <w:lang w:val="ro-RO"/>
        </w:rPr>
        <w:t>a p</w:t>
      </w:r>
      <w:r w:rsidR="00444D72" w:rsidRPr="00CD48F9">
        <w:rPr>
          <w:lang w:val="ro-RO"/>
        </w:rPr>
        <w:t>latforma de cooperare a mediului de afaceri</w:t>
      </w:r>
      <w:r w:rsidR="00907C3B" w:rsidRPr="00CD48F9">
        <w:rPr>
          <w:lang w:val="ro-RO"/>
        </w:rPr>
        <w:t>,</w:t>
      </w:r>
      <w:r w:rsidR="00444D72" w:rsidRPr="00CD48F9">
        <w:rPr>
          <w:lang w:val="ro-RO"/>
        </w:rPr>
        <w:t xml:space="preserve"> </w:t>
      </w:r>
      <w:r w:rsidR="00BC0F85" w:rsidRPr="00CD48F9">
        <w:rPr>
          <w:lang w:val="ro-RO"/>
        </w:rPr>
        <w:t>organizată</w:t>
      </w:r>
      <w:r w:rsidR="00444D72" w:rsidRPr="00CD48F9">
        <w:rPr>
          <w:lang w:val="ro-RO"/>
        </w:rPr>
        <w:t xml:space="preserve"> în luna decembrie</w:t>
      </w:r>
      <w:r w:rsidRPr="00CD48F9">
        <w:rPr>
          <w:lang w:val="ro-RO"/>
        </w:rPr>
        <w:t xml:space="preserve"> 2018</w:t>
      </w:r>
      <w:r w:rsidR="00907C3B" w:rsidRPr="00CD48F9">
        <w:rPr>
          <w:lang w:val="ro-RO"/>
        </w:rPr>
        <w:t>, a reprezentanților</w:t>
      </w:r>
      <w:r w:rsidR="00444D72" w:rsidRPr="00CD48F9">
        <w:rPr>
          <w:lang w:val="ro-RO"/>
        </w:rPr>
        <w:t xml:space="preserve"> </w:t>
      </w:r>
      <w:r w:rsidR="00444D72" w:rsidRPr="00CD48F9">
        <w:rPr>
          <w:rFonts w:eastAsia="Times New Roman" w:cs="Arial"/>
          <w:noProof/>
          <w:lang w:val="ro-RO" w:eastAsia="ro-RO"/>
        </w:rPr>
        <w:t>Autorităţii Naţionale de Reglement</w:t>
      </w:r>
      <w:r w:rsidR="00DB6AF9" w:rsidRPr="00CD48F9">
        <w:rPr>
          <w:rFonts w:eastAsia="Times New Roman" w:cs="Arial"/>
          <w:noProof/>
          <w:lang w:val="ro-RO" w:eastAsia="ro-RO"/>
        </w:rPr>
        <w:t xml:space="preserve">are în domeniul Energiei (ANRE) şi ai </w:t>
      </w:r>
      <w:r w:rsidR="00444D72" w:rsidRPr="00CD48F9">
        <w:rPr>
          <w:rFonts w:eastAsia="Times New Roman" w:cs="Arial"/>
          <w:noProof/>
          <w:lang w:val="ro-RO" w:eastAsia="ro-RO"/>
        </w:rPr>
        <w:t>Agenţiei Naţionale pentru Resurse Minerale (ANRM)</w:t>
      </w:r>
      <w:r w:rsidR="00444D72" w:rsidRPr="00CD48F9">
        <w:rPr>
          <w:lang w:val="ro-RO"/>
        </w:rPr>
        <w:t xml:space="preserve">. </w:t>
      </w:r>
      <w:r w:rsidR="00DB6AF9" w:rsidRPr="00CD48F9">
        <w:rPr>
          <w:lang w:val="ro-RO"/>
        </w:rPr>
        <w:t xml:space="preserve">Cele două instituții au fost invitate și la </w:t>
      </w:r>
      <w:r w:rsidR="00345A2D" w:rsidRPr="00CD48F9">
        <w:rPr>
          <w:lang w:val="ro-RO"/>
        </w:rPr>
        <w:t>reuniunile platformei mediului de afaceri</w:t>
      </w:r>
      <w:r w:rsidR="00DB6AF9" w:rsidRPr="00CD48F9">
        <w:rPr>
          <w:lang w:val="ro-RO"/>
        </w:rPr>
        <w:t xml:space="preserve"> organizate în aprilie</w:t>
      </w:r>
      <w:r w:rsidR="001E32D8" w:rsidRPr="00CD48F9">
        <w:rPr>
          <w:lang w:val="ro-RO"/>
        </w:rPr>
        <w:t xml:space="preserve"> 2019 (a participat ANRE)</w:t>
      </w:r>
      <w:r w:rsidR="00DB6AF9" w:rsidRPr="00CD48F9">
        <w:rPr>
          <w:lang w:val="ro-RO"/>
        </w:rPr>
        <w:t xml:space="preserve"> și </w:t>
      </w:r>
      <w:r w:rsidR="001E32D8" w:rsidRPr="00CD48F9">
        <w:rPr>
          <w:lang w:val="ro-RO"/>
        </w:rPr>
        <w:t xml:space="preserve">în </w:t>
      </w:r>
      <w:r w:rsidR="00DB6AF9" w:rsidRPr="00CD48F9">
        <w:rPr>
          <w:lang w:val="ro-RO"/>
        </w:rPr>
        <w:t>decembrie 2019</w:t>
      </w:r>
      <w:r w:rsidR="0079734D" w:rsidRPr="00CD48F9">
        <w:rPr>
          <w:lang w:val="ro-RO"/>
        </w:rPr>
        <w:t xml:space="preserve"> (a participat </w:t>
      </w:r>
      <w:r w:rsidR="00473F92" w:rsidRPr="00CD48F9">
        <w:rPr>
          <w:lang w:val="ro-RO"/>
        </w:rPr>
        <w:t>ANRM).</w:t>
      </w:r>
      <w:r w:rsidR="001E32D8" w:rsidRPr="00CD48F9">
        <w:rPr>
          <w:lang w:val="ro-RO"/>
        </w:rPr>
        <w:t xml:space="preserve"> În acest context, pe fondul discuțiilor vizavi de integritatea în domeniul energiei, în cadrul platformei din aprilie 2019 a fost pusă în discuție </w:t>
      </w:r>
      <w:r w:rsidR="001E32D8" w:rsidRPr="00CD48F9">
        <w:rPr>
          <w:noProof/>
          <w:lang w:val="ro-RO"/>
        </w:rPr>
        <w:t>delimitarea competenței de reglementare a standardelor de integritate</w:t>
      </w:r>
      <w:r w:rsidR="00823F12" w:rsidRPr="00CD48F9">
        <w:rPr>
          <w:noProof/>
          <w:lang w:val="ro-RO"/>
        </w:rPr>
        <w:t>,</w:t>
      </w:r>
      <w:r w:rsidR="001E32D8" w:rsidRPr="00CD48F9">
        <w:rPr>
          <w:noProof/>
          <w:lang w:val="ro-RO"/>
        </w:rPr>
        <w:t xml:space="preserve"> în domeniul energiei</w:t>
      </w:r>
      <w:r w:rsidR="00823F12" w:rsidRPr="00CD48F9">
        <w:rPr>
          <w:noProof/>
          <w:lang w:val="ro-RO"/>
        </w:rPr>
        <w:t>,</w:t>
      </w:r>
      <w:r w:rsidR="001E32D8" w:rsidRPr="00CD48F9">
        <w:rPr>
          <w:noProof/>
          <w:lang w:val="ro-RO"/>
        </w:rPr>
        <w:t xml:space="preserve"> între ANRE și ministerele tutelare ale întreprinderilor publice care activează în acest domeniu, plecând de la necesitatea ca instituțiile publice să poată impune standarde de integritate, care să fie respectate de către actorii mediului privat din domeniul energetic.</w:t>
      </w:r>
      <w:r w:rsidR="00C264B1" w:rsidRPr="00CD48F9">
        <w:rPr>
          <w:noProof/>
          <w:lang w:val="ro-RO"/>
        </w:rPr>
        <w:t xml:space="preserve"> </w:t>
      </w:r>
      <w:r w:rsidR="00823F12" w:rsidRPr="00CD48F9">
        <w:rPr>
          <w:noProof/>
          <w:lang w:val="ro-RO"/>
        </w:rPr>
        <w:t>De asemenea, a fost subliniată atât necesitatea reală de a implementa un standard de control în acest domeniu, făcându-se trimitere la standardul ISO</w:t>
      </w:r>
      <w:r w:rsidR="00BC40B1" w:rsidRPr="00CD48F9">
        <w:rPr>
          <w:noProof/>
          <w:lang w:val="ro-RO"/>
        </w:rPr>
        <w:t xml:space="preserve"> 37001</w:t>
      </w:r>
      <w:r w:rsidR="00823F12" w:rsidRPr="00CD48F9">
        <w:rPr>
          <w:noProof/>
          <w:lang w:val="ro-RO"/>
        </w:rPr>
        <w:t xml:space="preserve">, cât și problema impunerii acestui standard terților de pe piață (forma în care ANRE ar putea să reglementeze obligativitatea utilizării unor proceduri standardizate ISO unor actori din mediul privat).  </w:t>
      </w:r>
    </w:p>
    <w:p w:rsidR="00C9538D" w:rsidRPr="00CD48F9" w:rsidRDefault="00CB03C6" w:rsidP="00972E3A">
      <w:pPr>
        <w:pStyle w:val="Title"/>
        <w:spacing w:before="0" w:after="120" w:line="276" w:lineRule="auto"/>
        <w:jc w:val="both"/>
        <w:rPr>
          <w:rFonts w:ascii="Trebuchet MS" w:hAnsi="Trebuchet MS"/>
          <w:sz w:val="22"/>
          <w:szCs w:val="22"/>
          <w:lang w:val="ro-RO"/>
        </w:rPr>
      </w:pPr>
      <w:bookmarkStart w:id="24" w:name="_Toc3376525"/>
      <w:r w:rsidRPr="00CD48F9">
        <w:rPr>
          <w:rFonts w:ascii="Trebuchet MS" w:hAnsi="Trebuchet MS"/>
          <w:sz w:val="22"/>
          <w:szCs w:val="22"/>
          <w:lang w:val="ro-RO"/>
        </w:rPr>
        <w:t>5</w:t>
      </w:r>
      <w:r w:rsidR="008F04B3" w:rsidRPr="00CD48F9">
        <w:rPr>
          <w:rFonts w:ascii="Trebuchet MS" w:hAnsi="Trebuchet MS"/>
          <w:sz w:val="22"/>
          <w:szCs w:val="22"/>
          <w:lang w:val="ro-RO"/>
        </w:rPr>
        <w:t xml:space="preserve">.4. Creșterea integrității, reducerea vulnerabilităților și a riscurilor de corupție la nivelul </w:t>
      </w:r>
      <w:proofErr w:type="spellStart"/>
      <w:r w:rsidR="008F04B3" w:rsidRPr="00CD48F9">
        <w:rPr>
          <w:rFonts w:ascii="Trebuchet MS" w:hAnsi="Trebuchet MS"/>
          <w:sz w:val="22"/>
          <w:szCs w:val="22"/>
          <w:lang w:val="ro-RO"/>
        </w:rPr>
        <w:t>instituţiilor</w:t>
      </w:r>
      <w:proofErr w:type="spellEnd"/>
      <w:r w:rsidR="008F04B3" w:rsidRPr="00CD48F9">
        <w:rPr>
          <w:rFonts w:ascii="Trebuchet MS" w:hAnsi="Trebuchet MS"/>
          <w:sz w:val="22"/>
          <w:szCs w:val="22"/>
          <w:lang w:val="ro-RO"/>
        </w:rPr>
        <w:t xml:space="preserve"> publice implicate în buna </w:t>
      </w:r>
      <w:proofErr w:type="spellStart"/>
      <w:r w:rsidR="008F04B3" w:rsidRPr="00CD48F9">
        <w:rPr>
          <w:rFonts w:ascii="Trebuchet MS" w:hAnsi="Trebuchet MS"/>
          <w:sz w:val="22"/>
          <w:szCs w:val="22"/>
          <w:lang w:val="ro-RO"/>
        </w:rPr>
        <w:t>funcţionare</w:t>
      </w:r>
      <w:proofErr w:type="spellEnd"/>
      <w:r w:rsidR="008F04B3" w:rsidRPr="00CD48F9">
        <w:rPr>
          <w:rFonts w:ascii="Trebuchet MS" w:hAnsi="Trebuchet MS"/>
          <w:sz w:val="22"/>
          <w:szCs w:val="22"/>
          <w:lang w:val="ro-RO"/>
        </w:rPr>
        <w:t xml:space="preserve"> a </w:t>
      </w:r>
      <w:proofErr w:type="spellStart"/>
      <w:r w:rsidR="008F04B3" w:rsidRPr="00CD48F9">
        <w:rPr>
          <w:rFonts w:ascii="Trebuchet MS" w:hAnsi="Trebuchet MS"/>
          <w:sz w:val="22"/>
          <w:szCs w:val="22"/>
          <w:lang w:val="ro-RO"/>
        </w:rPr>
        <w:t>justiţiei</w:t>
      </w:r>
      <w:proofErr w:type="spellEnd"/>
      <w:r w:rsidR="008F04B3" w:rsidRPr="00CD48F9">
        <w:rPr>
          <w:rFonts w:ascii="Trebuchet MS" w:hAnsi="Trebuchet MS"/>
          <w:sz w:val="22"/>
          <w:szCs w:val="22"/>
          <w:lang w:val="ro-RO"/>
        </w:rPr>
        <w:t xml:space="preserve"> ca serviciu public</w:t>
      </w:r>
      <w:r w:rsidR="006E5F2C" w:rsidRPr="00CD48F9">
        <w:rPr>
          <w:rFonts w:ascii="Trebuchet MS" w:hAnsi="Trebuchet MS"/>
          <w:sz w:val="22"/>
          <w:szCs w:val="22"/>
          <w:lang w:val="ro-RO"/>
        </w:rPr>
        <w:t xml:space="preserve"> (Obiectivul specific 3.4</w:t>
      </w:r>
      <w:r w:rsidR="002F1DFC" w:rsidRPr="00CD48F9">
        <w:rPr>
          <w:rFonts w:ascii="Trebuchet MS" w:hAnsi="Trebuchet MS"/>
          <w:sz w:val="22"/>
          <w:szCs w:val="22"/>
          <w:lang w:val="ro-RO"/>
        </w:rPr>
        <w:t>)</w:t>
      </w:r>
      <w:bookmarkEnd w:id="24"/>
    </w:p>
    <w:p w:rsidR="000B241D" w:rsidRPr="00CD48F9" w:rsidRDefault="000B241D" w:rsidP="00972E3A">
      <w:pPr>
        <w:spacing w:after="120" w:line="276" w:lineRule="auto"/>
        <w:rPr>
          <w:lang w:val="ro-RO"/>
        </w:rPr>
      </w:pPr>
      <w:r w:rsidRPr="00CD48F9">
        <w:rPr>
          <w:b/>
          <w:lang w:val="ro-RO"/>
        </w:rPr>
        <w:t>Măsura 3.4.1.</w:t>
      </w:r>
      <w:r w:rsidR="00DD35B4" w:rsidRPr="00CD48F9">
        <w:rPr>
          <w:lang w:val="ro-RO"/>
        </w:rPr>
        <w:t xml:space="preserve"> </w:t>
      </w:r>
      <w:r w:rsidR="002754B6" w:rsidRPr="00CD48F9">
        <w:rPr>
          <w:lang w:val="ro-RO"/>
        </w:rPr>
        <w:t>a fost</w:t>
      </w:r>
      <w:r w:rsidRPr="00CD48F9">
        <w:rPr>
          <w:lang w:val="ro-RO"/>
        </w:rPr>
        <w:t xml:space="preserve"> implementată</w:t>
      </w:r>
      <w:r w:rsidR="00E4597D" w:rsidRPr="00CD48F9">
        <w:rPr>
          <w:lang w:val="ro-RO"/>
        </w:rPr>
        <w:t>,</w:t>
      </w:r>
      <w:r w:rsidRPr="00CD48F9">
        <w:rPr>
          <w:lang w:val="ro-RO"/>
        </w:rPr>
        <w:t xml:space="preserve"> </w:t>
      </w:r>
      <w:r w:rsidR="00E4597D" w:rsidRPr="00CD48F9">
        <w:rPr>
          <w:lang w:val="ro-RO"/>
        </w:rPr>
        <w:t>Codul</w:t>
      </w:r>
      <w:r w:rsidRPr="00CD48F9">
        <w:rPr>
          <w:lang w:val="ro-RO"/>
        </w:rPr>
        <w:t xml:space="preserve"> de etică al Autorității Naționale pentru Cetățenie </w:t>
      </w:r>
      <w:r w:rsidR="00E4597D" w:rsidRPr="00CD48F9">
        <w:rPr>
          <w:lang w:val="ro-RO"/>
        </w:rPr>
        <w:t xml:space="preserve">fiind actualizat și aprobat de președintele instituției </w:t>
      </w:r>
      <w:r w:rsidRPr="00CD48F9">
        <w:rPr>
          <w:lang w:val="ro-RO"/>
        </w:rPr>
        <w:t>prin Ordinul nr. 165/06.06.2017.</w:t>
      </w:r>
      <w:r w:rsidR="00754353" w:rsidRPr="00CD48F9">
        <w:rPr>
          <w:lang w:val="ro-RO"/>
        </w:rPr>
        <w:t xml:space="preserve"> Codul se regă</w:t>
      </w:r>
      <w:r w:rsidR="002754B6" w:rsidRPr="00CD48F9">
        <w:rPr>
          <w:lang w:val="ro-RO"/>
        </w:rPr>
        <w:t>sește pe pagina de internet a instituției la secțiunea transparență decizională/SNA-ANC 2016-2020</w:t>
      </w:r>
      <w:r w:rsidR="002754B6" w:rsidRPr="00CD48F9">
        <w:rPr>
          <w:rStyle w:val="FootnoteReference"/>
          <w:lang w:val="ro-RO"/>
        </w:rPr>
        <w:footnoteReference w:id="22"/>
      </w:r>
      <w:r w:rsidR="002754B6" w:rsidRPr="00CD48F9">
        <w:rPr>
          <w:lang w:val="ro-RO"/>
        </w:rPr>
        <w:t>.</w:t>
      </w:r>
      <w:r w:rsidRPr="00CD48F9">
        <w:rPr>
          <w:lang w:val="ro-RO"/>
        </w:rPr>
        <w:t xml:space="preserve"> </w:t>
      </w:r>
    </w:p>
    <w:p w:rsidR="00EA129A" w:rsidRPr="00CD48F9" w:rsidRDefault="00DD35B4" w:rsidP="00972E3A">
      <w:pPr>
        <w:spacing w:after="120" w:line="276" w:lineRule="auto"/>
        <w:rPr>
          <w:lang w:val="ro-RO"/>
        </w:rPr>
      </w:pPr>
      <w:r w:rsidRPr="00CD48F9">
        <w:rPr>
          <w:lang w:val="ro-RO"/>
        </w:rPr>
        <w:t xml:space="preserve">Referitor la </w:t>
      </w:r>
      <w:r w:rsidRPr="00CD48F9">
        <w:rPr>
          <w:b/>
          <w:lang w:val="ro-RO"/>
        </w:rPr>
        <w:t>măsura 3.4.2.</w:t>
      </w:r>
      <w:r w:rsidRPr="00CD48F9">
        <w:rPr>
          <w:lang w:val="ro-RO"/>
        </w:rPr>
        <w:t xml:space="preserve"> privind revizuirea codului deontologic al personalului de </w:t>
      </w:r>
      <w:proofErr w:type="spellStart"/>
      <w:r w:rsidRPr="00CD48F9">
        <w:rPr>
          <w:lang w:val="ro-RO"/>
        </w:rPr>
        <w:t>probaţiune</w:t>
      </w:r>
      <w:proofErr w:type="spellEnd"/>
      <w:r w:rsidRPr="00CD48F9">
        <w:rPr>
          <w:lang w:val="ro-RO"/>
        </w:rPr>
        <w:t>, documentul</w:t>
      </w:r>
      <w:r w:rsidR="00EA129A" w:rsidRPr="00CD48F9">
        <w:rPr>
          <w:lang w:val="ro-RO"/>
        </w:rPr>
        <w:t xml:space="preserve"> urmează a fi </w:t>
      </w:r>
      <w:r w:rsidR="004D24EB" w:rsidRPr="00CD48F9">
        <w:rPr>
          <w:lang w:val="ro-RO"/>
        </w:rPr>
        <w:t>revizuit și aprobat în anul 2020</w:t>
      </w:r>
      <w:r w:rsidR="00EA129A" w:rsidRPr="00CD48F9">
        <w:rPr>
          <w:lang w:val="ro-RO"/>
        </w:rPr>
        <w:t>, ulterior adoptării legii privind statutul personalului de probațiune.</w:t>
      </w:r>
    </w:p>
    <w:p w:rsidR="00EA129A" w:rsidRPr="00CD48F9" w:rsidRDefault="00DD35B4" w:rsidP="00972E3A">
      <w:pPr>
        <w:spacing w:after="120" w:line="276" w:lineRule="auto"/>
        <w:rPr>
          <w:u w:val="single"/>
          <w:lang w:val="ro-RO"/>
        </w:rPr>
      </w:pPr>
      <w:r w:rsidRPr="00CD48F9">
        <w:rPr>
          <w:lang w:val="ro-RO"/>
        </w:rPr>
        <w:lastRenderedPageBreak/>
        <w:t xml:space="preserve">Cu privire la implementarea </w:t>
      </w:r>
      <w:r w:rsidRPr="00CD48F9">
        <w:rPr>
          <w:b/>
          <w:lang w:val="ro-RO"/>
        </w:rPr>
        <w:t>măsurii</w:t>
      </w:r>
      <w:r w:rsidR="00EA129A" w:rsidRPr="00CD48F9">
        <w:rPr>
          <w:b/>
          <w:lang w:val="ro-RO"/>
        </w:rPr>
        <w:t xml:space="preserve"> </w:t>
      </w:r>
      <w:r w:rsidR="000B241D" w:rsidRPr="00CD48F9">
        <w:rPr>
          <w:b/>
          <w:lang w:val="ro-RO"/>
        </w:rPr>
        <w:t>3.4.3.</w:t>
      </w:r>
      <w:r w:rsidRPr="00CD48F9">
        <w:rPr>
          <w:lang w:val="ro-RO"/>
        </w:rPr>
        <w:t xml:space="preserve"> referitoare la i</w:t>
      </w:r>
      <w:r w:rsidR="000B241D" w:rsidRPr="00CD48F9">
        <w:rPr>
          <w:lang w:val="ro-RO"/>
        </w:rPr>
        <w:t xml:space="preserve">ncluderea în cuprinsul metodologiei de </w:t>
      </w:r>
      <w:proofErr w:type="spellStart"/>
      <w:r w:rsidR="000B241D" w:rsidRPr="00CD48F9">
        <w:rPr>
          <w:lang w:val="ro-RO"/>
        </w:rPr>
        <w:t>inspecţie</w:t>
      </w:r>
      <w:proofErr w:type="spellEnd"/>
      <w:r w:rsidR="000B241D" w:rsidRPr="00CD48F9">
        <w:rPr>
          <w:lang w:val="ro-RO"/>
        </w:rPr>
        <w:t xml:space="preserve"> a </w:t>
      </w:r>
      <w:proofErr w:type="spellStart"/>
      <w:r w:rsidR="000B241D" w:rsidRPr="00CD48F9">
        <w:rPr>
          <w:lang w:val="ro-RO"/>
        </w:rPr>
        <w:t>activităţii</w:t>
      </w:r>
      <w:proofErr w:type="spellEnd"/>
      <w:r w:rsidR="000B241D" w:rsidRPr="00CD48F9">
        <w:rPr>
          <w:lang w:val="ro-RO"/>
        </w:rPr>
        <w:t xml:space="preserve"> serviciilor de </w:t>
      </w:r>
      <w:proofErr w:type="spellStart"/>
      <w:r w:rsidR="000B241D" w:rsidRPr="00CD48F9">
        <w:rPr>
          <w:lang w:val="ro-RO"/>
        </w:rPr>
        <w:t>probaţiune</w:t>
      </w:r>
      <w:proofErr w:type="spellEnd"/>
      <w:r w:rsidR="000B241D" w:rsidRPr="00CD48F9">
        <w:rPr>
          <w:lang w:val="ro-RO"/>
        </w:rPr>
        <w:t xml:space="preserve">, a unor criterii privind respectarea standardelor etice </w:t>
      </w:r>
      <w:proofErr w:type="spellStart"/>
      <w:r w:rsidR="000B241D" w:rsidRPr="00CD48F9">
        <w:rPr>
          <w:lang w:val="ro-RO"/>
        </w:rPr>
        <w:t>şi</w:t>
      </w:r>
      <w:proofErr w:type="spellEnd"/>
      <w:r w:rsidR="000B241D" w:rsidRPr="00CD48F9">
        <w:rPr>
          <w:lang w:val="ro-RO"/>
        </w:rPr>
        <w:t xml:space="preserve"> a </w:t>
      </w:r>
      <w:proofErr w:type="spellStart"/>
      <w:r w:rsidR="000B241D" w:rsidRPr="00CD48F9">
        <w:rPr>
          <w:lang w:val="ro-RO"/>
        </w:rPr>
        <w:t>integrităţii</w:t>
      </w:r>
      <w:proofErr w:type="spellEnd"/>
      <w:r w:rsidR="000B241D" w:rsidRPr="00CD48F9">
        <w:rPr>
          <w:lang w:val="ro-RO"/>
        </w:rPr>
        <w:t xml:space="preserve"> profesionale de către personalul de </w:t>
      </w:r>
      <w:proofErr w:type="spellStart"/>
      <w:r w:rsidR="000B241D" w:rsidRPr="00CD48F9">
        <w:rPr>
          <w:lang w:val="ro-RO"/>
        </w:rPr>
        <w:t>probaţiune</w:t>
      </w:r>
      <w:proofErr w:type="spellEnd"/>
      <w:r w:rsidRPr="00CD48F9">
        <w:rPr>
          <w:lang w:val="ro-RO"/>
        </w:rPr>
        <w:t>, î</w:t>
      </w:r>
      <w:r w:rsidR="00EA129A" w:rsidRPr="00CD48F9">
        <w:rPr>
          <w:lang w:val="ro-RO"/>
        </w:rPr>
        <w:t>n Anexa III (Inspecția de incident) la proiectul de OMJ privind Metodologia de organizare și desfășurare a evaluării și controlului activității de probațiune, este prevăzut criteriul privind respectarea principiilor etice și deontologice specifice profesiei. Proiectul de act normativ a fost supus dezbaterii publice în luna ianuarie 2018 și se află în procedura de avizare la nivelul MJ</w:t>
      </w:r>
      <w:r w:rsidR="00EA129A" w:rsidRPr="00CD48F9">
        <w:rPr>
          <w:rStyle w:val="FootnoteReference"/>
          <w:lang w:val="ro-RO"/>
        </w:rPr>
        <w:footnoteReference w:id="23"/>
      </w:r>
      <w:r w:rsidR="00EA129A" w:rsidRPr="00CD48F9">
        <w:rPr>
          <w:lang w:val="ro-RO"/>
        </w:rPr>
        <w:t xml:space="preserve">.  </w:t>
      </w:r>
    </w:p>
    <w:p w:rsidR="00677167" w:rsidRPr="00CD48F9" w:rsidRDefault="00EA129A" w:rsidP="00972E3A">
      <w:pPr>
        <w:spacing w:after="120" w:line="276" w:lineRule="auto"/>
        <w:rPr>
          <w:u w:val="single"/>
          <w:lang w:val="ro-RO"/>
        </w:rPr>
      </w:pPr>
      <w:r w:rsidRPr="00CD48F9">
        <w:rPr>
          <w:b/>
          <w:lang w:val="ro-RO"/>
        </w:rPr>
        <w:t xml:space="preserve">Măsura </w:t>
      </w:r>
      <w:r w:rsidR="000B241D" w:rsidRPr="00CD48F9">
        <w:rPr>
          <w:b/>
          <w:lang w:val="ro-RO"/>
        </w:rPr>
        <w:t>3.4.4</w:t>
      </w:r>
      <w:r w:rsidR="000B241D" w:rsidRPr="00CD48F9">
        <w:rPr>
          <w:lang w:val="ro-RO"/>
        </w:rPr>
        <w:t xml:space="preserve"> </w:t>
      </w:r>
      <w:r w:rsidR="00DD35B4" w:rsidRPr="00CD48F9">
        <w:rPr>
          <w:lang w:val="ro-RO"/>
        </w:rPr>
        <w:t>privind c</w:t>
      </w:r>
      <w:r w:rsidR="000B241D" w:rsidRPr="00CD48F9">
        <w:rPr>
          <w:lang w:val="ro-RO"/>
        </w:rPr>
        <w:t xml:space="preserve">rearea unui sistem de raportare a posibilelor fapte de </w:t>
      </w:r>
      <w:proofErr w:type="spellStart"/>
      <w:r w:rsidR="000B241D" w:rsidRPr="00CD48F9">
        <w:rPr>
          <w:lang w:val="ro-RO"/>
        </w:rPr>
        <w:t>corupţie</w:t>
      </w:r>
      <w:proofErr w:type="spellEnd"/>
      <w:r w:rsidR="000B241D" w:rsidRPr="00CD48F9">
        <w:rPr>
          <w:lang w:val="ro-RO"/>
        </w:rPr>
        <w:t xml:space="preserve"> în sistemul de probațiune</w:t>
      </w:r>
      <w:r w:rsidR="00DD35B4" w:rsidRPr="00CD48F9">
        <w:rPr>
          <w:lang w:val="ro-RO"/>
        </w:rPr>
        <w:t xml:space="preserve">, </w:t>
      </w:r>
      <w:r w:rsidRPr="00CD48F9">
        <w:rPr>
          <w:lang w:val="ro-RO"/>
        </w:rPr>
        <w:t>u</w:t>
      </w:r>
      <w:r w:rsidR="006338C9" w:rsidRPr="00CD48F9">
        <w:rPr>
          <w:lang w:val="ro-RO"/>
        </w:rPr>
        <w:t>rmeaz</w:t>
      </w:r>
      <w:r w:rsidR="004D24EB" w:rsidRPr="00CD48F9">
        <w:rPr>
          <w:lang w:val="ro-RO"/>
        </w:rPr>
        <w:t>ă a fi implementată în anul 2020</w:t>
      </w:r>
      <w:r w:rsidR="006338C9" w:rsidRPr="00CD48F9">
        <w:rPr>
          <w:lang w:val="ro-RO"/>
        </w:rPr>
        <w:t>, în</w:t>
      </w:r>
      <w:r w:rsidR="001F52C6" w:rsidRPr="00CD48F9">
        <w:rPr>
          <w:lang w:val="ro-RO"/>
        </w:rPr>
        <w:t xml:space="preserve"> limita bugetului aprobat</w:t>
      </w:r>
      <w:r w:rsidR="006338C9" w:rsidRPr="00CD48F9">
        <w:rPr>
          <w:lang w:val="ro-RO"/>
        </w:rPr>
        <w:t xml:space="preserve">. </w:t>
      </w:r>
      <w:r w:rsidR="00677167" w:rsidRPr="00CD48F9">
        <w:rPr>
          <w:lang w:val="ro-RO"/>
        </w:rPr>
        <w:t xml:space="preserve"> </w:t>
      </w:r>
    </w:p>
    <w:p w:rsidR="000B241D" w:rsidRPr="00CD48F9" w:rsidRDefault="002E005C" w:rsidP="00972E3A">
      <w:pPr>
        <w:spacing w:after="120" w:line="276" w:lineRule="auto"/>
        <w:rPr>
          <w:u w:val="single"/>
          <w:lang w:val="ro-RO"/>
        </w:rPr>
      </w:pPr>
      <w:r w:rsidRPr="00CD48F9">
        <w:rPr>
          <w:lang w:val="ro-RO"/>
        </w:rPr>
        <w:t xml:space="preserve">Raportat la implementarea </w:t>
      </w:r>
      <w:r w:rsidRPr="00CD48F9">
        <w:rPr>
          <w:b/>
          <w:lang w:val="ro-RO"/>
        </w:rPr>
        <w:t>măsurii 3.4.5.</w:t>
      </w:r>
      <w:r w:rsidRPr="00CD48F9">
        <w:rPr>
          <w:lang w:val="ro-RO"/>
        </w:rPr>
        <w:t xml:space="preserve"> privind aprobarea Codului deontologic al expertului criminalist, î</w:t>
      </w:r>
      <w:r w:rsidR="00845387" w:rsidRPr="00CD48F9">
        <w:rPr>
          <w:lang w:val="ro-RO"/>
        </w:rPr>
        <w:t>n anul 2019</w:t>
      </w:r>
      <w:r w:rsidR="0083208A" w:rsidRPr="00CD48F9">
        <w:rPr>
          <w:lang w:val="ro-RO"/>
        </w:rPr>
        <w:t xml:space="preserve"> nu au fost întreprinse demersuri </w:t>
      </w:r>
      <w:r w:rsidR="00CC27FC" w:rsidRPr="00CD48F9">
        <w:rPr>
          <w:lang w:val="ro-RO"/>
        </w:rPr>
        <w:t>care să vizeze elaborarea</w:t>
      </w:r>
      <w:r w:rsidR="0083208A" w:rsidRPr="00CD48F9">
        <w:rPr>
          <w:lang w:val="ro-RO"/>
        </w:rPr>
        <w:t xml:space="preserve"> </w:t>
      </w:r>
      <w:r w:rsidRPr="00CD48F9">
        <w:rPr>
          <w:lang w:val="ro-RO"/>
        </w:rPr>
        <w:t>acestui document</w:t>
      </w:r>
      <w:r w:rsidR="009A4B75" w:rsidRPr="00CD48F9">
        <w:rPr>
          <w:lang w:val="ro-RO"/>
        </w:rPr>
        <w:t xml:space="preserve">. </w:t>
      </w:r>
    </w:p>
    <w:p w:rsidR="008F04B3" w:rsidRPr="00CD48F9" w:rsidRDefault="00CB03C6" w:rsidP="00972E3A">
      <w:pPr>
        <w:pStyle w:val="Title"/>
        <w:spacing w:before="0" w:after="120" w:line="276" w:lineRule="auto"/>
        <w:jc w:val="both"/>
        <w:rPr>
          <w:rFonts w:ascii="Trebuchet MS" w:hAnsi="Trebuchet MS"/>
          <w:sz w:val="22"/>
          <w:szCs w:val="22"/>
          <w:lang w:val="ro-RO"/>
        </w:rPr>
      </w:pPr>
      <w:bookmarkStart w:id="25" w:name="_Toc3376526"/>
      <w:r w:rsidRPr="00CD48F9">
        <w:rPr>
          <w:rFonts w:ascii="Trebuchet MS" w:hAnsi="Trebuchet MS"/>
          <w:sz w:val="22"/>
          <w:szCs w:val="22"/>
          <w:lang w:val="ro-RO"/>
        </w:rPr>
        <w:t>6</w:t>
      </w:r>
      <w:r w:rsidR="008F04B3" w:rsidRPr="00CD48F9">
        <w:rPr>
          <w:rFonts w:ascii="Trebuchet MS" w:hAnsi="Trebuchet MS"/>
          <w:sz w:val="22"/>
          <w:szCs w:val="22"/>
          <w:lang w:val="ro-RO"/>
        </w:rPr>
        <w:t xml:space="preserve">. </w:t>
      </w:r>
      <w:proofErr w:type="spellStart"/>
      <w:r w:rsidR="008F04B3" w:rsidRPr="00CD48F9">
        <w:rPr>
          <w:rFonts w:ascii="Trebuchet MS" w:hAnsi="Trebuchet MS"/>
          <w:sz w:val="22"/>
          <w:szCs w:val="22"/>
          <w:lang w:val="ro-RO"/>
        </w:rPr>
        <w:t>Creşterea</w:t>
      </w:r>
      <w:proofErr w:type="spellEnd"/>
      <w:r w:rsidR="008F04B3" w:rsidRPr="00CD48F9">
        <w:rPr>
          <w:rFonts w:ascii="Trebuchet MS" w:hAnsi="Trebuchet MS"/>
          <w:sz w:val="22"/>
          <w:szCs w:val="22"/>
          <w:lang w:val="ro-RO"/>
        </w:rPr>
        <w:t xml:space="preserve"> gradului de </w:t>
      </w:r>
      <w:proofErr w:type="spellStart"/>
      <w:r w:rsidR="008F04B3" w:rsidRPr="00CD48F9">
        <w:rPr>
          <w:rFonts w:ascii="Trebuchet MS" w:hAnsi="Trebuchet MS"/>
          <w:sz w:val="22"/>
          <w:szCs w:val="22"/>
          <w:lang w:val="ro-RO"/>
        </w:rPr>
        <w:t>cunoaştere</w:t>
      </w:r>
      <w:proofErr w:type="spellEnd"/>
      <w:r w:rsidR="008F04B3" w:rsidRPr="00CD48F9">
        <w:rPr>
          <w:rFonts w:ascii="Trebuchet MS" w:hAnsi="Trebuchet MS"/>
          <w:sz w:val="22"/>
          <w:szCs w:val="22"/>
          <w:lang w:val="ro-RO"/>
        </w:rPr>
        <w:t xml:space="preserve"> </w:t>
      </w:r>
      <w:proofErr w:type="spellStart"/>
      <w:r w:rsidR="008F04B3" w:rsidRPr="00CD48F9">
        <w:rPr>
          <w:rFonts w:ascii="Trebuchet MS" w:hAnsi="Trebuchet MS"/>
          <w:sz w:val="22"/>
          <w:szCs w:val="22"/>
          <w:lang w:val="ro-RO"/>
        </w:rPr>
        <w:t>şi</w:t>
      </w:r>
      <w:proofErr w:type="spellEnd"/>
      <w:r w:rsidR="008F04B3" w:rsidRPr="00CD48F9">
        <w:rPr>
          <w:rFonts w:ascii="Trebuchet MS" w:hAnsi="Trebuchet MS"/>
          <w:sz w:val="22"/>
          <w:szCs w:val="22"/>
          <w:lang w:val="ro-RO"/>
        </w:rPr>
        <w:t xml:space="preserve"> </w:t>
      </w:r>
      <w:proofErr w:type="spellStart"/>
      <w:r w:rsidR="008F04B3" w:rsidRPr="00CD48F9">
        <w:rPr>
          <w:rFonts w:ascii="Trebuchet MS" w:hAnsi="Trebuchet MS"/>
          <w:sz w:val="22"/>
          <w:szCs w:val="22"/>
          <w:lang w:val="ro-RO"/>
        </w:rPr>
        <w:t>înţelegere</w:t>
      </w:r>
      <w:proofErr w:type="spellEnd"/>
      <w:r w:rsidR="008F04B3" w:rsidRPr="00CD48F9">
        <w:rPr>
          <w:rFonts w:ascii="Trebuchet MS" w:hAnsi="Trebuchet MS"/>
          <w:sz w:val="22"/>
          <w:szCs w:val="22"/>
          <w:lang w:val="ro-RO"/>
        </w:rPr>
        <w:t xml:space="preserve"> a standardelor de integritate de către </w:t>
      </w:r>
      <w:proofErr w:type="spellStart"/>
      <w:r w:rsidR="008F04B3" w:rsidRPr="00CD48F9">
        <w:rPr>
          <w:rFonts w:ascii="Trebuchet MS" w:hAnsi="Trebuchet MS"/>
          <w:sz w:val="22"/>
          <w:szCs w:val="22"/>
          <w:lang w:val="ro-RO"/>
        </w:rPr>
        <w:t>angajaţi</w:t>
      </w:r>
      <w:proofErr w:type="spellEnd"/>
      <w:r w:rsidR="008F04B3" w:rsidRPr="00CD48F9">
        <w:rPr>
          <w:rFonts w:ascii="Trebuchet MS" w:hAnsi="Trebuchet MS"/>
          <w:sz w:val="22"/>
          <w:szCs w:val="22"/>
          <w:lang w:val="ro-RO"/>
        </w:rPr>
        <w:t xml:space="preserve"> </w:t>
      </w:r>
      <w:proofErr w:type="spellStart"/>
      <w:r w:rsidR="008F04B3" w:rsidRPr="00CD48F9">
        <w:rPr>
          <w:rFonts w:ascii="Trebuchet MS" w:hAnsi="Trebuchet MS"/>
          <w:sz w:val="22"/>
          <w:szCs w:val="22"/>
          <w:lang w:val="ro-RO"/>
        </w:rPr>
        <w:t>şi</w:t>
      </w:r>
      <w:proofErr w:type="spellEnd"/>
      <w:r w:rsidR="008F04B3" w:rsidRPr="00CD48F9">
        <w:rPr>
          <w:rFonts w:ascii="Trebuchet MS" w:hAnsi="Trebuchet MS"/>
          <w:sz w:val="22"/>
          <w:szCs w:val="22"/>
          <w:lang w:val="ro-RO"/>
        </w:rPr>
        <w:t xml:space="preserve"> beneficiarii serviciilor publice</w:t>
      </w:r>
      <w:r w:rsidR="002F1DFC" w:rsidRPr="00CD48F9">
        <w:rPr>
          <w:rFonts w:ascii="Trebuchet MS" w:hAnsi="Trebuchet MS"/>
          <w:sz w:val="22"/>
          <w:szCs w:val="22"/>
          <w:lang w:val="ro-RO"/>
        </w:rPr>
        <w:t xml:space="preserve"> (Obiectivul general 4)</w:t>
      </w:r>
      <w:bookmarkEnd w:id="25"/>
    </w:p>
    <w:p w:rsidR="0090396A" w:rsidRPr="00CD48F9" w:rsidRDefault="00CB03C6" w:rsidP="00972E3A">
      <w:pPr>
        <w:pStyle w:val="Title"/>
        <w:spacing w:before="0" w:after="120" w:line="276" w:lineRule="auto"/>
        <w:jc w:val="both"/>
        <w:rPr>
          <w:rFonts w:ascii="Trebuchet MS" w:hAnsi="Trebuchet MS"/>
          <w:sz w:val="22"/>
          <w:szCs w:val="22"/>
          <w:lang w:val="ro-RO"/>
        </w:rPr>
      </w:pPr>
      <w:bookmarkStart w:id="26" w:name="_Toc3376527"/>
      <w:r w:rsidRPr="00CD48F9">
        <w:rPr>
          <w:rFonts w:ascii="Trebuchet MS" w:hAnsi="Trebuchet MS"/>
          <w:sz w:val="22"/>
          <w:szCs w:val="22"/>
          <w:lang w:val="ro-RO"/>
        </w:rPr>
        <w:t>6</w:t>
      </w:r>
      <w:r w:rsidR="0090396A" w:rsidRPr="00CD48F9">
        <w:rPr>
          <w:rFonts w:ascii="Trebuchet MS" w:hAnsi="Trebuchet MS"/>
          <w:sz w:val="22"/>
          <w:szCs w:val="22"/>
          <w:lang w:val="ro-RO"/>
        </w:rPr>
        <w:t xml:space="preserve">.1. Creșterea gradului de </w:t>
      </w:r>
      <w:proofErr w:type="spellStart"/>
      <w:r w:rsidR="0090396A" w:rsidRPr="00CD48F9">
        <w:rPr>
          <w:rFonts w:ascii="Trebuchet MS" w:hAnsi="Trebuchet MS"/>
          <w:sz w:val="22"/>
          <w:szCs w:val="22"/>
          <w:lang w:val="ro-RO"/>
        </w:rPr>
        <w:t>educaţie</w:t>
      </w:r>
      <w:proofErr w:type="spellEnd"/>
      <w:r w:rsidR="0090396A" w:rsidRPr="00CD48F9">
        <w:rPr>
          <w:rFonts w:ascii="Trebuchet MS" w:hAnsi="Trebuchet MS"/>
          <w:sz w:val="22"/>
          <w:szCs w:val="22"/>
          <w:lang w:val="ro-RO"/>
        </w:rPr>
        <w:t xml:space="preserve"> </w:t>
      </w:r>
      <w:proofErr w:type="spellStart"/>
      <w:r w:rsidR="0090396A" w:rsidRPr="00CD48F9">
        <w:rPr>
          <w:rFonts w:ascii="Trebuchet MS" w:hAnsi="Trebuchet MS"/>
          <w:sz w:val="22"/>
          <w:szCs w:val="22"/>
          <w:lang w:val="ro-RO"/>
        </w:rPr>
        <w:t>anticorupţie</w:t>
      </w:r>
      <w:proofErr w:type="spellEnd"/>
      <w:r w:rsidR="0090396A" w:rsidRPr="00CD48F9">
        <w:rPr>
          <w:rFonts w:ascii="Trebuchet MS" w:hAnsi="Trebuchet MS"/>
          <w:sz w:val="22"/>
          <w:szCs w:val="22"/>
          <w:lang w:val="ro-RO"/>
        </w:rPr>
        <w:t xml:space="preserve"> a personalului din cadrul </w:t>
      </w:r>
      <w:proofErr w:type="spellStart"/>
      <w:r w:rsidR="0090396A" w:rsidRPr="00CD48F9">
        <w:rPr>
          <w:rFonts w:ascii="Trebuchet MS" w:hAnsi="Trebuchet MS"/>
          <w:sz w:val="22"/>
          <w:szCs w:val="22"/>
          <w:lang w:val="ro-RO"/>
        </w:rPr>
        <w:t>autorităţilor</w:t>
      </w:r>
      <w:proofErr w:type="spellEnd"/>
      <w:r w:rsidR="0090396A" w:rsidRPr="00CD48F9">
        <w:rPr>
          <w:rFonts w:ascii="Trebuchet MS" w:hAnsi="Trebuchet MS"/>
          <w:sz w:val="22"/>
          <w:szCs w:val="22"/>
          <w:lang w:val="ro-RO"/>
        </w:rPr>
        <w:t xml:space="preserve"> </w:t>
      </w:r>
      <w:proofErr w:type="spellStart"/>
      <w:r w:rsidR="0090396A" w:rsidRPr="00CD48F9">
        <w:rPr>
          <w:rFonts w:ascii="Trebuchet MS" w:hAnsi="Trebuchet MS"/>
          <w:sz w:val="22"/>
          <w:szCs w:val="22"/>
          <w:lang w:val="ro-RO"/>
        </w:rPr>
        <w:t>şi</w:t>
      </w:r>
      <w:proofErr w:type="spellEnd"/>
      <w:r w:rsidR="0090396A" w:rsidRPr="00CD48F9">
        <w:rPr>
          <w:rFonts w:ascii="Trebuchet MS" w:hAnsi="Trebuchet MS"/>
          <w:sz w:val="22"/>
          <w:szCs w:val="22"/>
          <w:lang w:val="ro-RO"/>
        </w:rPr>
        <w:t xml:space="preserve"> </w:t>
      </w:r>
      <w:proofErr w:type="spellStart"/>
      <w:r w:rsidR="0090396A" w:rsidRPr="00CD48F9">
        <w:rPr>
          <w:rFonts w:ascii="Trebuchet MS" w:hAnsi="Trebuchet MS"/>
          <w:sz w:val="22"/>
          <w:szCs w:val="22"/>
          <w:lang w:val="ro-RO"/>
        </w:rPr>
        <w:t>instituţiilor</w:t>
      </w:r>
      <w:proofErr w:type="spellEnd"/>
      <w:r w:rsidR="0090396A" w:rsidRPr="00CD48F9">
        <w:rPr>
          <w:rFonts w:ascii="Trebuchet MS" w:hAnsi="Trebuchet MS"/>
          <w:sz w:val="22"/>
          <w:szCs w:val="22"/>
          <w:lang w:val="ro-RO"/>
        </w:rPr>
        <w:t xml:space="preserve"> publice de la nivel central</w:t>
      </w:r>
      <w:r w:rsidR="002F1DFC" w:rsidRPr="00CD48F9">
        <w:rPr>
          <w:rFonts w:ascii="Trebuchet MS" w:hAnsi="Trebuchet MS"/>
          <w:sz w:val="22"/>
          <w:szCs w:val="22"/>
          <w:lang w:val="ro-RO"/>
        </w:rPr>
        <w:t xml:space="preserve"> (Obiectivul specific 4.1)</w:t>
      </w:r>
      <w:bookmarkEnd w:id="26"/>
    </w:p>
    <w:p w:rsidR="004A32B5" w:rsidRPr="00CD48F9" w:rsidRDefault="00E77D64" w:rsidP="00972E3A">
      <w:pPr>
        <w:spacing w:after="120" w:line="276" w:lineRule="auto"/>
        <w:rPr>
          <w:lang w:val="ro-RO"/>
        </w:rPr>
      </w:pPr>
      <w:r w:rsidRPr="00CD48F9">
        <w:rPr>
          <w:lang w:val="ro-RO"/>
        </w:rPr>
        <w:t xml:space="preserve">Referitor la </w:t>
      </w:r>
      <w:r w:rsidRPr="00CD48F9">
        <w:rPr>
          <w:b/>
          <w:lang w:val="ro-RO"/>
        </w:rPr>
        <w:t>măsura 4.1.1.</w:t>
      </w:r>
      <w:r w:rsidRPr="00CD48F9">
        <w:rPr>
          <w:lang w:val="ro-RO"/>
        </w:rPr>
        <w:t xml:space="preserve"> privind d</w:t>
      </w:r>
      <w:r w:rsidR="004A32B5" w:rsidRPr="00CD48F9">
        <w:rPr>
          <w:lang w:val="ro-RO"/>
        </w:rPr>
        <w:t xml:space="preserve">ezvoltarea unui program anual, on-line, de formare profesională pe teme privind integritatea în </w:t>
      </w:r>
      <w:proofErr w:type="spellStart"/>
      <w:r w:rsidR="004A32B5" w:rsidRPr="00CD48F9">
        <w:rPr>
          <w:lang w:val="ro-RO"/>
        </w:rPr>
        <w:t>funcţia</w:t>
      </w:r>
      <w:proofErr w:type="spellEnd"/>
      <w:r w:rsidR="004A32B5" w:rsidRPr="00CD48F9">
        <w:rPr>
          <w:lang w:val="ro-RO"/>
        </w:rPr>
        <w:t xml:space="preserve"> publică, cu caracter obligatoriu, dedicat personalului cu </w:t>
      </w:r>
      <w:proofErr w:type="spellStart"/>
      <w:r w:rsidR="004A32B5" w:rsidRPr="00CD48F9">
        <w:rPr>
          <w:lang w:val="ro-RO"/>
        </w:rPr>
        <w:t>funcţii</w:t>
      </w:r>
      <w:proofErr w:type="spellEnd"/>
      <w:r w:rsidR="004A32B5" w:rsidRPr="00CD48F9">
        <w:rPr>
          <w:lang w:val="ro-RO"/>
        </w:rPr>
        <w:t xml:space="preserve"> de conducere </w:t>
      </w:r>
      <w:proofErr w:type="spellStart"/>
      <w:r w:rsidR="004A32B5" w:rsidRPr="00CD48F9">
        <w:rPr>
          <w:lang w:val="ro-RO"/>
        </w:rPr>
        <w:t>şi</w:t>
      </w:r>
      <w:proofErr w:type="spellEnd"/>
      <w:r w:rsidR="004A32B5" w:rsidRPr="00CD48F9">
        <w:rPr>
          <w:lang w:val="ro-RO"/>
        </w:rPr>
        <w:t xml:space="preserve"> de </w:t>
      </w:r>
      <w:proofErr w:type="spellStart"/>
      <w:r w:rsidR="004A32B5" w:rsidRPr="00CD48F9">
        <w:rPr>
          <w:lang w:val="ro-RO"/>
        </w:rPr>
        <w:t>execuţie</w:t>
      </w:r>
      <w:proofErr w:type="spellEnd"/>
      <w:r w:rsidR="004A32B5" w:rsidRPr="00CD48F9">
        <w:rPr>
          <w:lang w:val="ro-RO"/>
        </w:rPr>
        <w:t xml:space="preserve"> din </w:t>
      </w:r>
      <w:proofErr w:type="spellStart"/>
      <w:r w:rsidR="004A32B5" w:rsidRPr="00CD48F9">
        <w:rPr>
          <w:lang w:val="ro-RO"/>
        </w:rPr>
        <w:t>instituţiile</w:t>
      </w:r>
      <w:proofErr w:type="spellEnd"/>
      <w:r w:rsidR="004A32B5" w:rsidRPr="00CD48F9">
        <w:rPr>
          <w:lang w:val="ro-RO"/>
        </w:rPr>
        <w:t xml:space="preserve"> publice</w:t>
      </w:r>
      <w:r w:rsidRPr="00CD48F9">
        <w:rPr>
          <w:lang w:val="ro-RO"/>
        </w:rPr>
        <w:t xml:space="preserve">, </w:t>
      </w:r>
      <w:r w:rsidR="008304D9" w:rsidRPr="00CD48F9">
        <w:rPr>
          <w:lang w:val="ro-RO"/>
        </w:rPr>
        <w:t>aceasta</w:t>
      </w:r>
      <w:r w:rsidRPr="00CD48F9">
        <w:rPr>
          <w:lang w:val="ro-RO"/>
        </w:rPr>
        <w:t xml:space="preserve"> este implementată prin </w:t>
      </w:r>
      <w:r w:rsidR="00836857" w:rsidRPr="00CD48F9">
        <w:rPr>
          <w:lang w:val="ro-RO"/>
        </w:rPr>
        <w:t xml:space="preserve">intermediul </w:t>
      </w:r>
      <w:r w:rsidRPr="00CD48F9">
        <w:rPr>
          <w:lang w:val="ro-RO"/>
        </w:rPr>
        <w:t>proiectul</w:t>
      </w:r>
      <w:r w:rsidR="00836857" w:rsidRPr="00CD48F9">
        <w:rPr>
          <w:lang w:val="ro-RO"/>
        </w:rPr>
        <w:t>ui</w:t>
      </w:r>
      <w:r w:rsidR="004A32B5" w:rsidRPr="00CD48F9">
        <w:rPr>
          <w:lang w:val="ro-RO"/>
        </w:rPr>
        <w:t xml:space="preserve"> POCA </w:t>
      </w:r>
      <w:r w:rsidR="004A32B5" w:rsidRPr="00CD48F9">
        <w:rPr>
          <w:i/>
          <w:lang w:val="ro-RO"/>
        </w:rPr>
        <w:t>„Consolidarea capacității administrative a secretariatului tehnic al Strategiei Naționale Anticorupție 2016-2020 de a sprijini implementarea măsurilor anticorupție</w:t>
      </w:r>
      <w:r w:rsidR="000060B2" w:rsidRPr="00CD48F9">
        <w:rPr>
          <w:i/>
          <w:lang w:val="ro-RO"/>
        </w:rPr>
        <w:t>”</w:t>
      </w:r>
      <w:r w:rsidR="00C65704" w:rsidRPr="00CD48F9">
        <w:rPr>
          <w:lang w:val="ro-RO"/>
        </w:rPr>
        <w:t>, cu termen semestrul I 2020</w:t>
      </w:r>
      <w:r w:rsidR="008304D9" w:rsidRPr="00CD48F9">
        <w:rPr>
          <w:lang w:val="ro-RO"/>
        </w:rPr>
        <w:t>.</w:t>
      </w:r>
      <w:r w:rsidR="004A32B5" w:rsidRPr="00CD48F9">
        <w:rPr>
          <w:lang w:val="ro-RO"/>
        </w:rPr>
        <w:t xml:space="preserve"> </w:t>
      </w:r>
    </w:p>
    <w:p w:rsidR="004E1B07" w:rsidRPr="00CD48F9" w:rsidRDefault="00E4597D" w:rsidP="00972E3A">
      <w:pPr>
        <w:spacing w:after="120" w:line="276" w:lineRule="auto"/>
        <w:rPr>
          <w:lang w:val="ro-RO"/>
        </w:rPr>
      </w:pPr>
      <w:r w:rsidRPr="00CD48F9">
        <w:rPr>
          <w:lang w:val="ro-RO"/>
        </w:rPr>
        <w:t xml:space="preserve">Cu privire la implementarea </w:t>
      </w:r>
      <w:r w:rsidRPr="00CD48F9">
        <w:rPr>
          <w:b/>
          <w:lang w:val="ro-RO"/>
        </w:rPr>
        <w:t>măsurii 4.1.2.</w:t>
      </w:r>
      <w:r w:rsidRPr="00CD48F9">
        <w:rPr>
          <w:lang w:val="ro-RO"/>
        </w:rPr>
        <w:t xml:space="preserve"> privind i</w:t>
      </w:r>
      <w:r w:rsidR="004A32B5" w:rsidRPr="00CD48F9">
        <w:rPr>
          <w:lang w:val="ro-RO"/>
        </w:rPr>
        <w:t>nițierea și derularea unor module de formare profesională în materie de integritate la nivelul instituțiilor sub</w:t>
      </w:r>
      <w:r w:rsidRPr="00CD48F9">
        <w:rPr>
          <w:lang w:val="ro-RO"/>
        </w:rPr>
        <w:t xml:space="preserve">ordonate </w:t>
      </w:r>
      <w:r w:rsidR="00B02DB2" w:rsidRPr="00CD48F9">
        <w:rPr>
          <w:lang w:val="ro-RO"/>
        </w:rPr>
        <w:t>MJ</w:t>
      </w:r>
      <w:r w:rsidRPr="00CD48F9">
        <w:rPr>
          <w:lang w:val="ro-RO"/>
        </w:rPr>
        <w:t>, î</w:t>
      </w:r>
      <w:r w:rsidR="00345A2D" w:rsidRPr="00CD48F9">
        <w:rPr>
          <w:lang w:val="ro-RO"/>
        </w:rPr>
        <w:t xml:space="preserve">n perioada 2 - 4 septembrie 2019, a avut loc, la Sinaia, sesiunea de instruire a personalului din cadrul MJ și al unităților subordonate, cu privire la măsurile de </w:t>
      </w:r>
      <w:proofErr w:type="spellStart"/>
      <w:r w:rsidR="00345A2D" w:rsidRPr="00CD48F9">
        <w:rPr>
          <w:lang w:val="ro-RO"/>
        </w:rPr>
        <w:t>transparenţă</w:t>
      </w:r>
      <w:proofErr w:type="spellEnd"/>
      <w:r w:rsidR="00345A2D" w:rsidRPr="00CD48F9">
        <w:rPr>
          <w:lang w:val="ro-RO"/>
        </w:rPr>
        <w:t xml:space="preserve"> </w:t>
      </w:r>
      <w:proofErr w:type="spellStart"/>
      <w:r w:rsidR="00345A2D" w:rsidRPr="00CD48F9">
        <w:rPr>
          <w:lang w:val="ro-RO"/>
        </w:rPr>
        <w:t>instituţională</w:t>
      </w:r>
      <w:proofErr w:type="spellEnd"/>
      <w:r w:rsidR="00345A2D" w:rsidRPr="00CD48F9">
        <w:rPr>
          <w:lang w:val="ro-RO"/>
        </w:rPr>
        <w:t xml:space="preserve"> </w:t>
      </w:r>
      <w:proofErr w:type="spellStart"/>
      <w:r w:rsidR="00345A2D" w:rsidRPr="00CD48F9">
        <w:rPr>
          <w:lang w:val="ro-RO"/>
        </w:rPr>
        <w:t>şi</w:t>
      </w:r>
      <w:proofErr w:type="spellEnd"/>
      <w:r w:rsidR="00345A2D" w:rsidRPr="00CD48F9">
        <w:rPr>
          <w:lang w:val="ro-RO"/>
        </w:rPr>
        <w:t xml:space="preserve"> de prevenire a </w:t>
      </w:r>
      <w:proofErr w:type="spellStart"/>
      <w:r w:rsidR="00345A2D" w:rsidRPr="00CD48F9">
        <w:rPr>
          <w:lang w:val="ro-RO"/>
        </w:rPr>
        <w:t>corupţiei</w:t>
      </w:r>
      <w:proofErr w:type="spellEnd"/>
      <w:r w:rsidR="00345A2D" w:rsidRPr="00CD48F9">
        <w:rPr>
          <w:lang w:val="ro-RO"/>
        </w:rPr>
        <w:t xml:space="preserve"> prevăzute de anexa 3 la SNA 2016 – 2020, la care au participat 30 de persoane.</w:t>
      </w:r>
    </w:p>
    <w:p w:rsidR="004E1B07" w:rsidRPr="00CD48F9" w:rsidRDefault="00E4597D" w:rsidP="00972E3A">
      <w:pPr>
        <w:spacing w:after="120" w:line="276" w:lineRule="auto"/>
        <w:rPr>
          <w:lang w:val="ro-RO"/>
        </w:rPr>
      </w:pPr>
      <w:r w:rsidRPr="00CD48F9">
        <w:rPr>
          <w:lang w:val="ro-RO"/>
        </w:rPr>
        <w:t>Din perspectiva implementării acestei</w:t>
      </w:r>
      <w:r w:rsidR="004E1B07" w:rsidRPr="00CD48F9">
        <w:rPr>
          <w:lang w:val="ro-RO"/>
        </w:rPr>
        <w:t xml:space="preserve"> măsurii la nivelul ANP, au fost înregistrați 2073 de participanți la nivel teritorial și 300 participanți de la nivel central, la module de formare profesională în materie de integritate, fiind parcurse circa 54 de teme din domeniile: Etică și integritate; Cultură etică; Transparență instituțională și prevenirea corupției; Standarde legale de integritate; Ghidul anticorupție; Acte normative, Expert prevenirea și combaterea corupției. Au fost organizate 2 convocări profesionale cu personalul Direcției Prevenirea Criminalității și Terorismului, la care au fost incluse module în materie de integritate. 22 persoane au participat la un program de training cu Direcția Generală Anticorupție pentru utilizarea softului Managementul Asistat al Riscurilor de corupție. Au fost derulate parteneriate cu Direcția Generală Anticorupție – serviciile județene anticorupție la unitățile penitenciare Galați, Bistrița, Craiova-</w:t>
      </w:r>
      <w:proofErr w:type="spellStart"/>
      <w:r w:rsidR="004E1B07" w:rsidRPr="00CD48F9">
        <w:rPr>
          <w:lang w:val="ro-RO"/>
        </w:rPr>
        <w:t>Pelendava</w:t>
      </w:r>
      <w:proofErr w:type="spellEnd"/>
      <w:r w:rsidR="004E1B07" w:rsidRPr="00CD48F9">
        <w:rPr>
          <w:lang w:val="ro-RO"/>
        </w:rPr>
        <w:t>, Oradea și Brăila (în total 487 participanți). Nu au fost dezvoltate parteneriate cu societatea civilă.</w:t>
      </w:r>
    </w:p>
    <w:p w:rsidR="00E4597D" w:rsidRPr="00CD48F9" w:rsidRDefault="00F66233" w:rsidP="00972E3A">
      <w:pPr>
        <w:spacing w:after="120" w:line="276" w:lineRule="auto"/>
        <w:rPr>
          <w:lang w:val="ro-RO"/>
        </w:rPr>
      </w:pPr>
      <w:r w:rsidRPr="00CD48F9">
        <w:rPr>
          <w:lang w:val="ro-RO"/>
        </w:rPr>
        <w:t>Formarea profesională a personalului medical (medici și asistenți medicali) din cadrul Centrului Medical de Diag</w:t>
      </w:r>
      <w:r w:rsidR="00836857" w:rsidRPr="00CD48F9">
        <w:rPr>
          <w:lang w:val="ro-RO"/>
        </w:rPr>
        <w:t xml:space="preserve">nostic și Tratament Ambulatoriu - </w:t>
      </w:r>
      <w:r w:rsidR="00917EAF" w:rsidRPr="00CD48F9">
        <w:rPr>
          <w:lang w:val="ro-RO"/>
        </w:rPr>
        <w:t>M</w:t>
      </w:r>
      <w:r w:rsidR="00836857" w:rsidRPr="00CD48F9">
        <w:rPr>
          <w:lang w:val="ro-RO"/>
        </w:rPr>
        <w:t xml:space="preserve">inisterul </w:t>
      </w:r>
      <w:r w:rsidR="00917EAF" w:rsidRPr="00CD48F9">
        <w:rPr>
          <w:lang w:val="ro-RO"/>
        </w:rPr>
        <w:t>J</w:t>
      </w:r>
      <w:r w:rsidR="00836857" w:rsidRPr="00CD48F9">
        <w:rPr>
          <w:lang w:val="ro-RO"/>
        </w:rPr>
        <w:t>ustiției</w:t>
      </w:r>
      <w:r w:rsidRPr="00CD48F9">
        <w:rPr>
          <w:lang w:val="ro-RO"/>
        </w:rPr>
        <w:t xml:space="preserve"> constă în participarea acestora la congrese, conferințe, cursuri de pregătire în domeniul medical, organizate de către Colegiul Medicilor, Ordinul Asistenților Medicali și alte organizații cu </w:t>
      </w:r>
      <w:r w:rsidRPr="00CD48F9">
        <w:rPr>
          <w:lang w:val="ro-RO"/>
        </w:rPr>
        <w:lastRenderedPageBreak/>
        <w:t xml:space="preserve">specific medical. Numărul angajaților care au participat la cursuri de pregătire este de 27 de persoane </w:t>
      </w:r>
      <w:r w:rsidR="009A4D0F" w:rsidRPr="00CD48F9">
        <w:rPr>
          <w:lang w:val="ro-RO"/>
        </w:rPr>
        <w:t xml:space="preserve">din categoria celor </w:t>
      </w:r>
      <w:r w:rsidRPr="00CD48F9">
        <w:rPr>
          <w:lang w:val="ro-RO"/>
        </w:rPr>
        <w:t>cu specializare medico-sanitară și 3 persoane</w:t>
      </w:r>
      <w:r w:rsidR="009A4D0F" w:rsidRPr="00CD48F9">
        <w:rPr>
          <w:lang w:val="ro-RO"/>
        </w:rPr>
        <w:t xml:space="preserve"> din categoria personalului auxiliar care au participat la cursuri de prim ajutor. Tipul temelor incluse în programul de formare este specific fiecărei specialități medicale iar confirmarea participării se face prin diplome și certificate de participare. </w:t>
      </w:r>
      <w:r w:rsidRPr="00CD48F9">
        <w:rPr>
          <w:lang w:val="ro-RO"/>
        </w:rPr>
        <w:t xml:space="preserve"> </w:t>
      </w:r>
      <w:bookmarkStart w:id="27" w:name="_Toc3376528"/>
    </w:p>
    <w:p w:rsidR="00B02DB2" w:rsidRPr="00CD48F9" w:rsidRDefault="00B02DB2" w:rsidP="00972E3A">
      <w:pPr>
        <w:pStyle w:val="Title"/>
        <w:spacing w:before="0" w:after="120" w:line="276" w:lineRule="auto"/>
        <w:jc w:val="both"/>
        <w:rPr>
          <w:rFonts w:ascii="Trebuchet MS" w:hAnsi="Trebuchet MS"/>
          <w:b w:val="0"/>
          <w:sz w:val="22"/>
          <w:szCs w:val="22"/>
          <w:lang w:val="ro-RO"/>
        </w:rPr>
      </w:pPr>
      <w:r w:rsidRPr="00CD48F9">
        <w:rPr>
          <w:rFonts w:ascii="Trebuchet MS" w:hAnsi="Trebuchet MS"/>
          <w:b w:val="0"/>
          <w:sz w:val="22"/>
          <w:szCs w:val="22"/>
          <w:lang w:val="ro-RO"/>
        </w:rPr>
        <w:t xml:space="preserve">La nivelul ANC, în anul 2019 nu au fost finalizate demersurile în vederea încheierii unui nou protocol cu Direcția Generală Anticorupție din cadrul Ministerului Afacerilor Interne, fiind avută în vedere reluarea discuțiilor în cursul anului 2020. </w:t>
      </w:r>
    </w:p>
    <w:p w:rsidR="0090396A" w:rsidRPr="00CD48F9" w:rsidRDefault="00CB03C6" w:rsidP="00972E3A">
      <w:pPr>
        <w:pStyle w:val="Title"/>
        <w:spacing w:before="0" w:after="120" w:line="276" w:lineRule="auto"/>
        <w:jc w:val="both"/>
        <w:rPr>
          <w:rFonts w:ascii="Trebuchet MS" w:hAnsi="Trebuchet MS"/>
          <w:sz w:val="22"/>
          <w:szCs w:val="22"/>
          <w:lang w:val="ro-RO"/>
        </w:rPr>
      </w:pPr>
      <w:r w:rsidRPr="00CD48F9">
        <w:rPr>
          <w:rFonts w:ascii="Trebuchet MS" w:hAnsi="Trebuchet MS"/>
          <w:sz w:val="22"/>
          <w:szCs w:val="22"/>
          <w:lang w:val="ro-RO"/>
        </w:rPr>
        <w:t>6</w:t>
      </w:r>
      <w:r w:rsidR="0090396A" w:rsidRPr="00CD48F9">
        <w:rPr>
          <w:rFonts w:ascii="Trebuchet MS" w:hAnsi="Trebuchet MS"/>
          <w:sz w:val="22"/>
          <w:szCs w:val="22"/>
          <w:lang w:val="ro-RO"/>
        </w:rPr>
        <w:t xml:space="preserve">.2. </w:t>
      </w:r>
      <w:proofErr w:type="spellStart"/>
      <w:r w:rsidR="0090396A" w:rsidRPr="00CD48F9">
        <w:rPr>
          <w:rFonts w:ascii="Trebuchet MS" w:hAnsi="Trebuchet MS"/>
          <w:sz w:val="22"/>
          <w:szCs w:val="22"/>
          <w:lang w:val="ro-RO"/>
        </w:rPr>
        <w:t>Creşterea</w:t>
      </w:r>
      <w:proofErr w:type="spellEnd"/>
      <w:r w:rsidR="0090396A" w:rsidRPr="00CD48F9">
        <w:rPr>
          <w:rFonts w:ascii="Trebuchet MS" w:hAnsi="Trebuchet MS"/>
          <w:sz w:val="22"/>
          <w:szCs w:val="22"/>
          <w:lang w:val="ro-RO"/>
        </w:rPr>
        <w:t xml:space="preserve"> gradului de informare a publicului cu privire la impactul fenomenului </w:t>
      </w:r>
      <w:proofErr w:type="spellStart"/>
      <w:r w:rsidR="0090396A" w:rsidRPr="00CD48F9">
        <w:rPr>
          <w:rFonts w:ascii="Trebuchet MS" w:hAnsi="Trebuchet MS"/>
          <w:sz w:val="22"/>
          <w:szCs w:val="22"/>
          <w:lang w:val="ro-RO"/>
        </w:rPr>
        <w:t>corupţiei</w:t>
      </w:r>
      <w:proofErr w:type="spellEnd"/>
      <w:r w:rsidR="002F1DFC" w:rsidRPr="00CD48F9">
        <w:rPr>
          <w:rFonts w:ascii="Trebuchet MS" w:hAnsi="Trebuchet MS"/>
          <w:sz w:val="22"/>
          <w:szCs w:val="22"/>
          <w:lang w:val="ro-RO"/>
        </w:rPr>
        <w:t xml:space="preserve"> (Obiectivul specific 4.2)</w:t>
      </w:r>
      <w:bookmarkEnd w:id="27"/>
    </w:p>
    <w:p w:rsidR="00823632" w:rsidRPr="00CD48F9" w:rsidRDefault="008F102F" w:rsidP="00972E3A">
      <w:pPr>
        <w:spacing w:after="120" w:line="276" w:lineRule="auto"/>
        <w:rPr>
          <w:lang w:val="ro-RO"/>
        </w:rPr>
      </w:pPr>
      <w:r w:rsidRPr="00CD48F9">
        <w:rPr>
          <w:b/>
          <w:lang w:val="ro-RO"/>
        </w:rPr>
        <w:t>Măsura 4.2.1.</w:t>
      </w:r>
      <w:r w:rsidRPr="00CD48F9">
        <w:rPr>
          <w:lang w:val="ro-RO"/>
        </w:rPr>
        <w:t xml:space="preserve"> privind o</w:t>
      </w:r>
      <w:r w:rsidR="00B64C49" w:rsidRPr="00CD48F9">
        <w:rPr>
          <w:lang w:val="ro-RO"/>
        </w:rPr>
        <w:t xml:space="preserve">rganizarea </w:t>
      </w:r>
      <w:proofErr w:type="spellStart"/>
      <w:r w:rsidR="00B64C49" w:rsidRPr="00CD48F9">
        <w:rPr>
          <w:lang w:val="ro-RO"/>
        </w:rPr>
        <w:t>şi</w:t>
      </w:r>
      <w:proofErr w:type="spellEnd"/>
      <w:r w:rsidR="00B64C49" w:rsidRPr="00CD48F9">
        <w:rPr>
          <w:lang w:val="ro-RO"/>
        </w:rPr>
        <w:t xml:space="preserve"> derularea unei campanii de informare publică, în vederea </w:t>
      </w:r>
      <w:proofErr w:type="spellStart"/>
      <w:r w:rsidR="00B64C49" w:rsidRPr="00CD48F9">
        <w:rPr>
          <w:lang w:val="ro-RO"/>
        </w:rPr>
        <w:t>creşterii</w:t>
      </w:r>
      <w:proofErr w:type="spellEnd"/>
      <w:r w:rsidR="00B64C49" w:rsidRPr="00CD48F9">
        <w:rPr>
          <w:lang w:val="ro-RO"/>
        </w:rPr>
        <w:t xml:space="preserve"> gradului de </w:t>
      </w:r>
      <w:proofErr w:type="spellStart"/>
      <w:r w:rsidR="00B64C49" w:rsidRPr="00CD48F9">
        <w:rPr>
          <w:lang w:val="ro-RO"/>
        </w:rPr>
        <w:t>conştientizare</w:t>
      </w:r>
      <w:proofErr w:type="spellEnd"/>
      <w:r w:rsidR="00B64C49" w:rsidRPr="00CD48F9">
        <w:rPr>
          <w:lang w:val="ro-RO"/>
        </w:rPr>
        <w:t xml:space="preserve"> </w:t>
      </w:r>
      <w:proofErr w:type="spellStart"/>
      <w:r w:rsidR="00B64C49" w:rsidRPr="00CD48F9">
        <w:rPr>
          <w:lang w:val="ro-RO"/>
        </w:rPr>
        <w:t>şi</w:t>
      </w:r>
      <w:proofErr w:type="spellEnd"/>
      <w:r w:rsidR="00B64C49" w:rsidRPr="00CD48F9">
        <w:rPr>
          <w:lang w:val="ro-RO"/>
        </w:rPr>
        <w:t xml:space="preserve"> a nivelului de </w:t>
      </w:r>
      <w:proofErr w:type="spellStart"/>
      <w:r w:rsidR="00B64C49" w:rsidRPr="00CD48F9">
        <w:rPr>
          <w:lang w:val="ro-RO"/>
        </w:rPr>
        <w:t>educaţie</w:t>
      </w:r>
      <w:proofErr w:type="spellEnd"/>
      <w:r w:rsidR="00B64C49" w:rsidRPr="00CD48F9">
        <w:rPr>
          <w:lang w:val="ro-RO"/>
        </w:rPr>
        <w:t xml:space="preserve"> </w:t>
      </w:r>
      <w:proofErr w:type="spellStart"/>
      <w:r w:rsidR="00B64C49" w:rsidRPr="00CD48F9">
        <w:rPr>
          <w:lang w:val="ro-RO"/>
        </w:rPr>
        <w:t>anticorupţie</w:t>
      </w:r>
      <w:proofErr w:type="spellEnd"/>
      <w:r w:rsidR="00B64C49" w:rsidRPr="00CD48F9">
        <w:rPr>
          <w:lang w:val="ro-RO"/>
        </w:rPr>
        <w:t xml:space="preserve"> în rândul </w:t>
      </w:r>
      <w:proofErr w:type="spellStart"/>
      <w:r w:rsidR="00B64C49" w:rsidRPr="00CD48F9">
        <w:rPr>
          <w:lang w:val="ro-RO"/>
        </w:rPr>
        <w:t>cetăţenilor</w:t>
      </w:r>
      <w:proofErr w:type="spellEnd"/>
      <w:r w:rsidRPr="00CD48F9">
        <w:rPr>
          <w:lang w:val="ro-RO"/>
        </w:rPr>
        <w:t>, este implementată</w:t>
      </w:r>
      <w:r w:rsidR="00823632" w:rsidRPr="00CD48F9">
        <w:rPr>
          <w:lang w:val="ro-RO"/>
        </w:rPr>
        <w:t xml:space="preserve"> prin </w:t>
      </w:r>
      <w:r w:rsidR="00B64C49" w:rsidRPr="00CD48F9">
        <w:rPr>
          <w:lang w:val="ro-RO"/>
        </w:rPr>
        <w:t xml:space="preserve">proiectului POCA </w:t>
      </w:r>
      <w:r w:rsidR="00B64C49" w:rsidRPr="00CD48F9">
        <w:rPr>
          <w:i/>
          <w:lang w:val="ro-RO"/>
        </w:rPr>
        <w:t>„Consolidarea capacității administrative a secretariatului tehnic al Strategiei Naționale Anticorupție 2016-2020 de a sprijini implementarea măsurilor anticorupție”</w:t>
      </w:r>
      <w:r w:rsidR="00B64C49" w:rsidRPr="00CD48F9">
        <w:rPr>
          <w:lang w:val="ro-RO"/>
        </w:rPr>
        <w:t xml:space="preserve">. </w:t>
      </w:r>
      <w:r w:rsidR="00823632" w:rsidRPr="00CD48F9">
        <w:rPr>
          <w:lang w:val="ro-RO"/>
        </w:rPr>
        <w:t>În acest context, l</w:t>
      </w:r>
      <w:r w:rsidR="00836857" w:rsidRPr="00CD48F9">
        <w:rPr>
          <w:lang w:val="ro-RO"/>
        </w:rPr>
        <w:t xml:space="preserve">a data de </w:t>
      </w:r>
      <w:r w:rsidR="00C22627" w:rsidRPr="00CD48F9">
        <w:rPr>
          <w:lang w:val="ro-RO"/>
        </w:rPr>
        <w:t xml:space="preserve">4 noiembrie 2019 a fost republicat anunțul de participare pentru achiziția “Servicii de consultanță pentru elaborarea și implementarea unei campanii de informare publică”. Anunțul a fost publicat în SEAP, JOUE, pe site-ul publicitatepublica.ro și pe site-ul Ministerului Justiției. </w:t>
      </w:r>
      <w:r w:rsidR="00823632" w:rsidRPr="00CD48F9">
        <w:rPr>
          <w:lang w:val="ro-RO"/>
        </w:rPr>
        <w:t>Ulterior, procedura</w:t>
      </w:r>
      <w:r w:rsidR="00C22627" w:rsidRPr="00CD48F9">
        <w:rPr>
          <w:lang w:val="ro-RO"/>
        </w:rPr>
        <w:t xml:space="preserve"> a fost anulată, întrucât nu a fost depusă nicio ofertă admisibilă.</w:t>
      </w:r>
    </w:p>
    <w:p w:rsidR="00842C48" w:rsidRPr="00CD48F9" w:rsidRDefault="008F102F" w:rsidP="00972E3A">
      <w:pPr>
        <w:spacing w:after="120" w:line="276" w:lineRule="auto"/>
        <w:contextualSpacing/>
        <w:textAlignment w:val="baseline"/>
        <w:rPr>
          <w:lang w:val="ro-RO"/>
        </w:rPr>
      </w:pPr>
      <w:r w:rsidRPr="00CD48F9">
        <w:rPr>
          <w:lang w:val="ro-RO"/>
        </w:rPr>
        <w:t xml:space="preserve">Pentru implementarea </w:t>
      </w:r>
      <w:r w:rsidRPr="00CD48F9">
        <w:rPr>
          <w:b/>
          <w:lang w:val="ro-RO"/>
        </w:rPr>
        <w:t>măsurii</w:t>
      </w:r>
      <w:r w:rsidR="00B64C49" w:rsidRPr="00CD48F9">
        <w:rPr>
          <w:b/>
          <w:lang w:val="ro-RO"/>
        </w:rPr>
        <w:t xml:space="preserve"> 4.2.2.</w:t>
      </w:r>
      <w:r w:rsidR="00B64C49" w:rsidRPr="00CD48F9">
        <w:rPr>
          <w:lang w:val="ro-RO"/>
        </w:rPr>
        <w:t xml:space="preserve"> </w:t>
      </w:r>
      <w:r w:rsidRPr="00CD48F9">
        <w:rPr>
          <w:lang w:val="ro-RO"/>
        </w:rPr>
        <w:t>privind d</w:t>
      </w:r>
      <w:r w:rsidR="00B64C49" w:rsidRPr="00CD48F9">
        <w:rPr>
          <w:lang w:val="ro-RO"/>
        </w:rPr>
        <w:t xml:space="preserve">erularea unor campanii de mediatizare a drepturilor cetățenilor în raport cu </w:t>
      </w:r>
      <w:r w:rsidRPr="00CD48F9">
        <w:rPr>
          <w:lang w:val="ro-RO"/>
        </w:rPr>
        <w:t>ANC</w:t>
      </w:r>
      <w:r w:rsidR="0017673E" w:rsidRPr="00CD48F9">
        <w:rPr>
          <w:lang w:val="ro-RO"/>
        </w:rPr>
        <w:t xml:space="preserve"> și a mecanismelor pe care aceștia le au la dispoziție </w:t>
      </w:r>
      <w:r w:rsidRPr="00CD48F9">
        <w:rPr>
          <w:lang w:val="ro-RO"/>
        </w:rPr>
        <w:t xml:space="preserve">în vederea semnalării corupției, instituția a </w:t>
      </w:r>
      <w:r w:rsidR="00DD1A00" w:rsidRPr="00CD48F9">
        <w:rPr>
          <w:lang w:val="ro-RO"/>
        </w:rPr>
        <w:t xml:space="preserve">publicat pe pagina proprie de internet serviciul Liniei </w:t>
      </w:r>
      <w:proofErr w:type="spellStart"/>
      <w:r w:rsidR="00DD1A00" w:rsidRPr="00CD48F9">
        <w:rPr>
          <w:lang w:val="ro-RO"/>
        </w:rPr>
        <w:t>TelVerde</w:t>
      </w:r>
      <w:proofErr w:type="spellEnd"/>
      <w:r w:rsidR="00DD1A00" w:rsidRPr="00CD48F9">
        <w:rPr>
          <w:lang w:val="ro-RO"/>
        </w:rPr>
        <w:t xml:space="preserve"> Anticorupție 0800.800.148. De asemenea, s</w:t>
      </w:r>
      <w:r w:rsidR="00611995" w:rsidRPr="00CD48F9">
        <w:rPr>
          <w:lang w:val="ro-RO"/>
        </w:rPr>
        <w:t xml:space="preserve">e </w:t>
      </w:r>
      <w:r w:rsidR="002754B6" w:rsidRPr="00CD48F9">
        <w:rPr>
          <w:lang w:val="ro-RO"/>
        </w:rPr>
        <w:t xml:space="preserve">are în vedere ca în trimestrul </w:t>
      </w:r>
      <w:r w:rsidR="00DD1A00" w:rsidRPr="00CD48F9">
        <w:rPr>
          <w:lang w:val="ro-RO"/>
        </w:rPr>
        <w:t>I</w:t>
      </w:r>
      <w:r w:rsidR="002754B6" w:rsidRPr="00CD48F9">
        <w:rPr>
          <w:lang w:val="ro-RO"/>
        </w:rPr>
        <w:t>I</w:t>
      </w:r>
      <w:r w:rsidR="00DD1A00" w:rsidRPr="00CD48F9">
        <w:rPr>
          <w:lang w:val="ro-RO"/>
        </w:rPr>
        <w:t xml:space="preserve"> sau IV 2020</w:t>
      </w:r>
      <w:r w:rsidR="002754B6" w:rsidRPr="00CD48F9">
        <w:rPr>
          <w:lang w:val="ro-RO"/>
        </w:rPr>
        <w:t xml:space="preserve">, </w:t>
      </w:r>
      <w:r w:rsidR="004B0628" w:rsidRPr="00CD48F9">
        <w:rPr>
          <w:lang w:val="ro-RO"/>
        </w:rPr>
        <w:t>să fie demarată procedura</w:t>
      </w:r>
      <w:r w:rsidR="002754B6" w:rsidRPr="00CD48F9">
        <w:rPr>
          <w:lang w:val="ro-RO"/>
        </w:rPr>
        <w:t xml:space="preserve"> de achiziție, în limita </w:t>
      </w:r>
      <w:r w:rsidR="00DD1A00" w:rsidRPr="00CD48F9">
        <w:rPr>
          <w:lang w:val="ro-RO"/>
        </w:rPr>
        <w:t>bugetului, pentru un număr de 5.</w:t>
      </w:r>
      <w:r w:rsidR="002754B6" w:rsidRPr="00CD48F9">
        <w:rPr>
          <w:lang w:val="ro-RO"/>
        </w:rPr>
        <w:t xml:space="preserve">000 de pliante informative, care vor </w:t>
      </w:r>
      <w:proofErr w:type="spellStart"/>
      <w:r w:rsidR="002754B6" w:rsidRPr="00CD48F9">
        <w:rPr>
          <w:lang w:val="ro-RO"/>
        </w:rPr>
        <w:t>conţine</w:t>
      </w:r>
      <w:proofErr w:type="spellEnd"/>
      <w:r w:rsidR="002754B6" w:rsidRPr="00CD48F9">
        <w:rPr>
          <w:lang w:val="ro-RO"/>
        </w:rPr>
        <w:t xml:space="preserve"> </w:t>
      </w:r>
      <w:proofErr w:type="spellStart"/>
      <w:r w:rsidR="002754B6" w:rsidRPr="00CD48F9">
        <w:rPr>
          <w:lang w:val="ro-RO"/>
        </w:rPr>
        <w:t>informaţii</w:t>
      </w:r>
      <w:proofErr w:type="spellEnd"/>
      <w:r w:rsidR="002754B6" w:rsidRPr="00CD48F9">
        <w:rPr>
          <w:lang w:val="ro-RO"/>
        </w:rPr>
        <w:t xml:space="preserve"> despre procedura de redobândire/acordare a </w:t>
      </w:r>
      <w:proofErr w:type="spellStart"/>
      <w:r w:rsidR="002754B6" w:rsidRPr="00CD48F9">
        <w:rPr>
          <w:lang w:val="ro-RO"/>
        </w:rPr>
        <w:t>cetăţeniei</w:t>
      </w:r>
      <w:proofErr w:type="spellEnd"/>
      <w:r w:rsidR="002754B6" w:rsidRPr="00CD48F9">
        <w:rPr>
          <w:lang w:val="ro-RO"/>
        </w:rPr>
        <w:t xml:space="preserve"> române, alături de </w:t>
      </w:r>
      <w:proofErr w:type="spellStart"/>
      <w:r w:rsidR="002754B6" w:rsidRPr="00CD48F9">
        <w:rPr>
          <w:lang w:val="ro-RO"/>
        </w:rPr>
        <w:t>informaţii</w:t>
      </w:r>
      <w:proofErr w:type="spellEnd"/>
      <w:r w:rsidR="002754B6" w:rsidRPr="00CD48F9">
        <w:rPr>
          <w:lang w:val="ro-RO"/>
        </w:rPr>
        <w:t xml:space="preserve"> privitoare la mecanismele pe care </w:t>
      </w:r>
      <w:proofErr w:type="spellStart"/>
      <w:r w:rsidR="002754B6" w:rsidRPr="00CD48F9">
        <w:rPr>
          <w:lang w:val="ro-RO"/>
        </w:rPr>
        <w:t>solicitanţii</w:t>
      </w:r>
      <w:proofErr w:type="spellEnd"/>
      <w:r w:rsidR="002754B6" w:rsidRPr="00CD48F9">
        <w:rPr>
          <w:lang w:val="ro-RO"/>
        </w:rPr>
        <w:t xml:space="preserve"> le au la dispoziție în vederea semnalării faptelor de </w:t>
      </w:r>
      <w:proofErr w:type="spellStart"/>
      <w:r w:rsidR="002754B6" w:rsidRPr="00CD48F9">
        <w:rPr>
          <w:lang w:val="ro-RO"/>
        </w:rPr>
        <w:t>corupţie</w:t>
      </w:r>
      <w:proofErr w:type="spellEnd"/>
      <w:r w:rsidR="002754B6" w:rsidRPr="00CD48F9">
        <w:rPr>
          <w:lang w:val="ro-RO"/>
        </w:rPr>
        <w:t>.</w:t>
      </w:r>
      <w:r w:rsidR="004B0628" w:rsidRPr="00CD48F9">
        <w:rPr>
          <w:lang w:val="ro-RO"/>
        </w:rPr>
        <w:t xml:space="preserve"> </w:t>
      </w:r>
      <w:r w:rsidR="00842C48" w:rsidRPr="00CD48F9">
        <w:rPr>
          <w:lang w:val="ro-RO"/>
        </w:rPr>
        <w:t>În</w:t>
      </w:r>
      <w:r w:rsidR="00DD1A00" w:rsidRPr="00CD48F9">
        <w:rPr>
          <w:lang w:val="ro-RO"/>
        </w:rPr>
        <w:t xml:space="preserve"> cursul anului 2019</w:t>
      </w:r>
      <w:r w:rsidR="002754B6" w:rsidRPr="00CD48F9">
        <w:rPr>
          <w:lang w:val="ro-RO"/>
        </w:rPr>
        <w:t>, datorită resurselor bugetare limitate, nu a</w:t>
      </w:r>
      <w:r w:rsidR="00611995" w:rsidRPr="00CD48F9">
        <w:rPr>
          <w:lang w:val="ro-RO"/>
        </w:rPr>
        <w:t xml:space="preserve"> putut fi</w:t>
      </w:r>
      <w:r w:rsidR="002754B6" w:rsidRPr="00CD48F9">
        <w:rPr>
          <w:lang w:val="ro-RO"/>
        </w:rPr>
        <w:t xml:space="preserve"> finalizat</w:t>
      </w:r>
      <w:r w:rsidR="00611995" w:rsidRPr="00CD48F9">
        <w:rPr>
          <w:lang w:val="ro-RO"/>
        </w:rPr>
        <w:t>ă</w:t>
      </w:r>
      <w:r w:rsidR="002754B6" w:rsidRPr="00CD48F9">
        <w:rPr>
          <w:lang w:val="ro-RO"/>
        </w:rPr>
        <w:t xml:space="preserve"> această procedură de achiziție.</w:t>
      </w:r>
    </w:p>
    <w:p w:rsidR="0090396A" w:rsidRPr="00CD48F9" w:rsidRDefault="00CB03C6" w:rsidP="00972E3A">
      <w:pPr>
        <w:pStyle w:val="Title"/>
        <w:spacing w:before="0" w:after="120" w:line="276" w:lineRule="auto"/>
        <w:jc w:val="both"/>
        <w:rPr>
          <w:rFonts w:ascii="Trebuchet MS" w:hAnsi="Trebuchet MS"/>
          <w:sz w:val="22"/>
          <w:szCs w:val="22"/>
          <w:lang w:val="ro-RO"/>
        </w:rPr>
      </w:pPr>
      <w:bookmarkStart w:id="28" w:name="_Toc3376529"/>
      <w:r w:rsidRPr="00CD48F9">
        <w:rPr>
          <w:rFonts w:ascii="Trebuchet MS" w:hAnsi="Trebuchet MS"/>
          <w:sz w:val="22"/>
          <w:szCs w:val="22"/>
          <w:lang w:val="ro-RO"/>
        </w:rPr>
        <w:t>7</w:t>
      </w:r>
      <w:r w:rsidR="0090396A" w:rsidRPr="00CD48F9">
        <w:rPr>
          <w:rFonts w:ascii="Trebuchet MS" w:hAnsi="Trebuchet MS"/>
          <w:sz w:val="22"/>
          <w:szCs w:val="22"/>
          <w:lang w:val="ro-RO"/>
        </w:rPr>
        <w:t xml:space="preserve">. Consolidarea </w:t>
      </w:r>
      <w:proofErr w:type="spellStart"/>
      <w:r w:rsidR="0090396A" w:rsidRPr="00CD48F9">
        <w:rPr>
          <w:rFonts w:ascii="Trebuchet MS" w:hAnsi="Trebuchet MS"/>
          <w:sz w:val="22"/>
          <w:szCs w:val="22"/>
          <w:lang w:val="ro-RO"/>
        </w:rPr>
        <w:t>performanţei</w:t>
      </w:r>
      <w:proofErr w:type="spellEnd"/>
      <w:r w:rsidR="0090396A" w:rsidRPr="00CD48F9">
        <w:rPr>
          <w:rFonts w:ascii="Trebuchet MS" w:hAnsi="Trebuchet MS"/>
          <w:sz w:val="22"/>
          <w:szCs w:val="22"/>
          <w:lang w:val="ro-RO"/>
        </w:rPr>
        <w:t xml:space="preserve"> de combatere a </w:t>
      </w:r>
      <w:proofErr w:type="spellStart"/>
      <w:r w:rsidR="0090396A" w:rsidRPr="00CD48F9">
        <w:rPr>
          <w:rFonts w:ascii="Trebuchet MS" w:hAnsi="Trebuchet MS"/>
          <w:sz w:val="22"/>
          <w:szCs w:val="22"/>
          <w:lang w:val="ro-RO"/>
        </w:rPr>
        <w:t>corupţiei</w:t>
      </w:r>
      <w:proofErr w:type="spellEnd"/>
      <w:r w:rsidR="0090396A" w:rsidRPr="00CD48F9">
        <w:rPr>
          <w:rFonts w:ascii="Trebuchet MS" w:hAnsi="Trebuchet MS"/>
          <w:sz w:val="22"/>
          <w:szCs w:val="22"/>
          <w:lang w:val="ro-RO"/>
        </w:rPr>
        <w:t xml:space="preserve"> prin mijloace penale </w:t>
      </w:r>
      <w:proofErr w:type="spellStart"/>
      <w:r w:rsidR="0090396A" w:rsidRPr="00CD48F9">
        <w:rPr>
          <w:rFonts w:ascii="Trebuchet MS" w:hAnsi="Trebuchet MS"/>
          <w:sz w:val="22"/>
          <w:szCs w:val="22"/>
          <w:lang w:val="ro-RO"/>
        </w:rPr>
        <w:t>şi</w:t>
      </w:r>
      <w:proofErr w:type="spellEnd"/>
      <w:r w:rsidR="0090396A" w:rsidRPr="00CD48F9">
        <w:rPr>
          <w:rFonts w:ascii="Trebuchet MS" w:hAnsi="Trebuchet MS"/>
          <w:sz w:val="22"/>
          <w:szCs w:val="22"/>
          <w:lang w:val="ro-RO"/>
        </w:rPr>
        <w:t xml:space="preserve"> administrative</w:t>
      </w:r>
      <w:r w:rsidR="002F1DFC" w:rsidRPr="00CD48F9">
        <w:rPr>
          <w:rFonts w:ascii="Trebuchet MS" w:hAnsi="Trebuchet MS"/>
          <w:sz w:val="22"/>
          <w:szCs w:val="22"/>
          <w:lang w:val="ro-RO"/>
        </w:rPr>
        <w:t xml:space="preserve"> (Obiectivul general 5)</w:t>
      </w:r>
      <w:bookmarkEnd w:id="28"/>
    </w:p>
    <w:p w:rsidR="0090396A" w:rsidRPr="00CD48F9" w:rsidRDefault="00CB03C6" w:rsidP="00972E3A">
      <w:pPr>
        <w:pStyle w:val="Title"/>
        <w:spacing w:before="0" w:after="120" w:line="276" w:lineRule="auto"/>
        <w:jc w:val="both"/>
        <w:rPr>
          <w:rFonts w:ascii="Trebuchet MS" w:hAnsi="Trebuchet MS"/>
          <w:sz w:val="22"/>
          <w:szCs w:val="22"/>
          <w:lang w:val="ro-RO"/>
        </w:rPr>
      </w:pPr>
      <w:bookmarkStart w:id="29" w:name="_Toc3376530"/>
      <w:r w:rsidRPr="00CD48F9">
        <w:rPr>
          <w:rFonts w:ascii="Trebuchet MS" w:hAnsi="Trebuchet MS"/>
          <w:sz w:val="22"/>
          <w:szCs w:val="22"/>
          <w:lang w:val="ro-RO"/>
        </w:rPr>
        <w:t>7</w:t>
      </w:r>
      <w:r w:rsidR="0090396A" w:rsidRPr="00CD48F9">
        <w:rPr>
          <w:rFonts w:ascii="Trebuchet MS" w:hAnsi="Trebuchet MS"/>
          <w:sz w:val="22"/>
          <w:szCs w:val="22"/>
          <w:lang w:val="ro-RO"/>
        </w:rPr>
        <w:t>.1. Consolidarea mecanismelor de control administrativ</w:t>
      </w:r>
      <w:r w:rsidR="002F1DFC" w:rsidRPr="00CD48F9">
        <w:rPr>
          <w:rFonts w:ascii="Trebuchet MS" w:hAnsi="Trebuchet MS"/>
          <w:sz w:val="22"/>
          <w:szCs w:val="22"/>
          <w:lang w:val="ro-RO"/>
        </w:rPr>
        <w:t xml:space="preserve"> (Obiectivul specific 5.1)</w:t>
      </w:r>
      <w:bookmarkEnd w:id="29"/>
    </w:p>
    <w:p w:rsidR="00B64C49" w:rsidRPr="00CD48F9" w:rsidRDefault="00BB5D91" w:rsidP="00972E3A">
      <w:pPr>
        <w:spacing w:after="120" w:line="276" w:lineRule="auto"/>
        <w:rPr>
          <w:lang w:val="ro-RO"/>
        </w:rPr>
      </w:pPr>
      <w:r w:rsidRPr="00CD48F9">
        <w:rPr>
          <w:lang w:val="ro-RO"/>
        </w:rPr>
        <w:t xml:space="preserve">Referitor la implementarea </w:t>
      </w:r>
      <w:r w:rsidRPr="00CD48F9">
        <w:rPr>
          <w:b/>
          <w:lang w:val="ro-RO"/>
        </w:rPr>
        <w:t>măsurii 5.1.1.</w:t>
      </w:r>
      <w:r w:rsidRPr="00CD48F9">
        <w:rPr>
          <w:lang w:val="ro-RO"/>
        </w:rPr>
        <w:t xml:space="preserve"> privind v</w:t>
      </w:r>
      <w:r w:rsidR="00B64C49" w:rsidRPr="00CD48F9">
        <w:rPr>
          <w:lang w:val="ro-RO"/>
        </w:rPr>
        <w:t>alorificarea activității Corpului de control al ministrului justiției prin sesizarea organelor judiciare competente</w:t>
      </w:r>
      <w:r w:rsidRPr="00CD48F9">
        <w:rPr>
          <w:lang w:val="ro-RO"/>
        </w:rPr>
        <w:t>, î</w:t>
      </w:r>
      <w:r w:rsidR="00B64C49" w:rsidRPr="00CD48F9">
        <w:rPr>
          <w:lang w:val="ro-RO"/>
        </w:rPr>
        <w:t xml:space="preserve">n urma </w:t>
      </w:r>
      <w:proofErr w:type="spellStart"/>
      <w:r w:rsidR="00B64C49" w:rsidRPr="00CD48F9">
        <w:rPr>
          <w:lang w:val="ro-RO"/>
        </w:rPr>
        <w:t>acţiunilor</w:t>
      </w:r>
      <w:proofErr w:type="spellEnd"/>
      <w:r w:rsidR="00B64C49" w:rsidRPr="00CD48F9">
        <w:rPr>
          <w:lang w:val="ro-RO"/>
        </w:rPr>
        <w:t xml:space="preserve"> de control efectuate</w:t>
      </w:r>
      <w:r w:rsidR="00D53054" w:rsidRPr="00CD48F9">
        <w:rPr>
          <w:lang w:val="ro-RO"/>
        </w:rPr>
        <w:t xml:space="preserve"> în cursul anului 2019</w:t>
      </w:r>
      <w:r w:rsidR="008426A3" w:rsidRPr="00CD48F9">
        <w:rPr>
          <w:lang w:val="ro-RO"/>
        </w:rPr>
        <w:t>,</w:t>
      </w:r>
      <w:r w:rsidR="00B64C49" w:rsidRPr="00CD48F9">
        <w:rPr>
          <w:lang w:val="ro-RO"/>
        </w:rPr>
        <w:t xml:space="preserve"> </w:t>
      </w:r>
      <w:r w:rsidR="00D53054" w:rsidRPr="00CD48F9">
        <w:rPr>
          <w:lang w:val="ro-RO"/>
        </w:rPr>
        <w:t>au fost formulate 13</w:t>
      </w:r>
      <w:r w:rsidR="00B64C49" w:rsidRPr="00CD48F9">
        <w:rPr>
          <w:lang w:val="ro-RO"/>
        </w:rPr>
        <w:t xml:space="preserve"> sesizări</w:t>
      </w:r>
      <w:r w:rsidR="008426A3" w:rsidRPr="00CD48F9">
        <w:rPr>
          <w:lang w:val="ro-RO"/>
        </w:rPr>
        <w:t xml:space="preserve"> către organele de urmărire penală competente. </w:t>
      </w:r>
    </w:p>
    <w:p w:rsidR="008426A3" w:rsidRPr="00CD48F9" w:rsidRDefault="00D53054" w:rsidP="00972E3A">
      <w:pPr>
        <w:spacing w:after="120" w:line="276" w:lineRule="auto"/>
        <w:rPr>
          <w:lang w:val="ro-RO"/>
        </w:rPr>
      </w:pPr>
      <w:r w:rsidRPr="00CD48F9">
        <w:rPr>
          <w:lang w:val="ro-RO"/>
        </w:rPr>
        <w:t>În urma sesizărilor formulate, au fost comunicate 7 soluții pronunțate de organele de urmărire penală, prin care s-a dispus clasarea cauzei, în temeiul dispozițiilor art. 315 alin. (1) lit. b) din Codul de procedură penală, cu referire la art. 314 alin. (1) lit. a) din Codul de procedură penală, raportat la art. 16 alin. (1) lit. b)</w:t>
      </w:r>
      <w:r w:rsidR="00AE12F0" w:rsidRPr="00CD48F9">
        <w:rPr>
          <w:lang w:val="ro-RO"/>
        </w:rPr>
        <w:t xml:space="preserve"> </w:t>
      </w:r>
      <w:r w:rsidRPr="00CD48F9">
        <w:rPr>
          <w:lang w:val="ro-RO"/>
        </w:rPr>
        <w:t>teza a II-a, din Codul de procedură penală, respectiv: fapta nu a fost săvârșită cu forma de vinovăție prevăzută de lege, lipsind intenția</w:t>
      </w:r>
      <w:r w:rsidR="008E64A1" w:rsidRPr="00CD48F9">
        <w:rPr>
          <w:lang w:val="ro-RO"/>
        </w:rPr>
        <w:t>.</w:t>
      </w:r>
    </w:p>
    <w:p w:rsidR="004E1B07" w:rsidRPr="00CD48F9" w:rsidRDefault="008E64A1" w:rsidP="00972E3A">
      <w:pPr>
        <w:spacing w:after="120" w:line="276" w:lineRule="auto"/>
        <w:rPr>
          <w:lang w:val="ro-RO"/>
        </w:rPr>
      </w:pPr>
      <w:r w:rsidRPr="00CD48F9">
        <w:rPr>
          <w:lang w:val="ro-RO"/>
        </w:rPr>
        <w:t xml:space="preserve">În celelalte cazuri nu au fost comunicate de organele de urmărire penală, respectiv instanțele de judecată, date referitoare la numărul de sesizări confirmate prin trimitere în judecată și condamnări definitive și nici cu privire la cuantumul prejudiciilor reparate.  </w:t>
      </w:r>
    </w:p>
    <w:p w:rsidR="004E1B07" w:rsidRPr="00CD48F9" w:rsidRDefault="00BB5D91" w:rsidP="00972E3A">
      <w:pPr>
        <w:spacing w:after="120" w:line="276" w:lineRule="auto"/>
        <w:rPr>
          <w:lang w:val="ro-RO"/>
        </w:rPr>
      </w:pPr>
      <w:r w:rsidRPr="00CD48F9">
        <w:rPr>
          <w:lang w:val="ro-RO"/>
        </w:rPr>
        <w:lastRenderedPageBreak/>
        <w:t xml:space="preserve">În urma activităților de control derulate de către </w:t>
      </w:r>
      <w:proofErr w:type="spellStart"/>
      <w:r w:rsidRPr="00CD48F9">
        <w:rPr>
          <w:lang w:val="ro-RO"/>
        </w:rPr>
        <w:t>Direcţia</w:t>
      </w:r>
      <w:proofErr w:type="spellEnd"/>
      <w:r w:rsidRPr="00CD48F9">
        <w:rPr>
          <w:lang w:val="ro-RO"/>
        </w:rPr>
        <w:t xml:space="preserve"> </w:t>
      </w:r>
      <w:proofErr w:type="spellStart"/>
      <w:r w:rsidRPr="00CD48F9">
        <w:rPr>
          <w:lang w:val="ro-RO"/>
        </w:rPr>
        <w:t>Inspecţie</w:t>
      </w:r>
      <w:proofErr w:type="spellEnd"/>
      <w:r w:rsidRPr="00CD48F9">
        <w:rPr>
          <w:lang w:val="ro-RO"/>
        </w:rPr>
        <w:t xml:space="preserve"> Penitenciară din cadrul ANP, î</w:t>
      </w:r>
      <w:r w:rsidR="004E1B07" w:rsidRPr="00CD48F9">
        <w:rPr>
          <w:lang w:val="ro-RO"/>
        </w:rPr>
        <w:t>n anul 2019, nu au fost formulate propuneri de sesizare a organelor judiciare</w:t>
      </w:r>
      <w:r w:rsidRPr="00CD48F9">
        <w:rPr>
          <w:lang w:val="ro-RO"/>
        </w:rPr>
        <w:t>.</w:t>
      </w:r>
      <w:r w:rsidR="004E1B07" w:rsidRPr="00CD48F9">
        <w:rPr>
          <w:lang w:val="ro-RO"/>
        </w:rPr>
        <w:t xml:space="preserve"> </w:t>
      </w:r>
    </w:p>
    <w:p w:rsidR="00395CFA" w:rsidRPr="00CD48F9" w:rsidRDefault="00BB5D91" w:rsidP="00972E3A">
      <w:pPr>
        <w:spacing w:after="120" w:line="276" w:lineRule="auto"/>
        <w:rPr>
          <w:lang w:val="ro-RO"/>
        </w:rPr>
      </w:pPr>
      <w:r w:rsidRPr="00CD48F9">
        <w:rPr>
          <w:lang w:val="ro-RO"/>
        </w:rPr>
        <w:t xml:space="preserve">Referitor la implementarea </w:t>
      </w:r>
      <w:r w:rsidRPr="00CD48F9">
        <w:rPr>
          <w:b/>
          <w:lang w:val="ro-RO"/>
        </w:rPr>
        <w:t>măsurii 5.1.2.</w:t>
      </w:r>
      <w:r w:rsidRPr="00CD48F9">
        <w:rPr>
          <w:lang w:val="ro-RO"/>
        </w:rPr>
        <w:t xml:space="preserve"> privind a</w:t>
      </w:r>
      <w:r w:rsidR="008426A3" w:rsidRPr="00CD48F9">
        <w:rPr>
          <w:lang w:val="ro-RO"/>
        </w:rPr>
        <w:t xml:space="preserve">plicarea de </w:t>
      </w:r>
      <w:proofErr w:type="spellStart"/>
      <w:r w:rsidR="008426A3" w:rsidRPr="00CD48F9">
        <w:rPr>
          <w:lang w:val="ro-RO"/>
        </w:rPr>
        <w:t>sancţiuni</w:t>
      </w:r>
      <w:proofErr w:type="spellEnd"/>
      <w:r w:rsidR="008426A3" w:rsidRPr="00CD48F9">
        <w:rPr>
          <w:lang w:val="ro-RO"/>
        </w:rPr>
        <w:t xml:space="preserve"> disciplinare cu caracter disuasiv pentru încălcarea standardelor etice </w:t>
      </w:r>
      <w:proofErr w:type="spellStart"/>
      <w:r w:rsidR="008426A3" w:rsidRPr="00CD48F9">
        <w:rPr>
          <w:lang w:val="ro-RO"/>
        </w:rPr>
        <w:t>şi</w:t>
      </w:r>
      <w:proofErr w:type="spellEnd"/>
      <w:r w:rsidR="008426A3" w:rsidRPr="00CD48F9">
        <w:rPr>
          <w:lang w:val="ro-RO"/>
        </w:rPr>
        <w:t xml:space="preserve"> de conduită </w:t>
      </w:r>
      <w:proofErr w:type="spellStart"/>
      <w:r w:rsidR="008426A3" w:rsidRPr="00CD48F9">
        <w:rPr>
          <w:lang w:val="ro-RO"/>
        </w:rPr>
        <w:t>anticorupţie</w:t>
      </w:r>
      <w:proofErr w:type="spellEnd"/>
      <w:r w:rsidR="008426A3" w:rsidRPr="00CD48F9">
        <w:rPr>
          <w:lang w:val="ro-RO"/>
        </w:rPr>
        <w:t xml:space="preserve"> la nivelul tuturor </w:t>
      </w:r>
      <w:proofErr w:type="spellStart"/>
      <w:r w:rsidR="008426A3" w:rsidRPr="00CD48F9">
        <w:rPr>
          <w:lang w:val="ro-RO"/>
        </w:rPr>
        <w:t>funcţiilor</w:t>
      </w:r>
      <w:proofErr w:type="spellEnd"/>
      <w:r w:rsidR="008426A3" w:rsidRPr="00CD48F9">
        <w:rPr>
          <w:lang w:val="ro-RO"/>
        </w:rPr>
        <w:t xml:space="preserve"> </w:t>
      </w:r>
      <w:proofErr w:type="spellStart"/>
      <w:r w:rsidR="008426A3" w:rsidRPr="00CD48F9">
        <w:rPr>
          <w:lang w:val="ro-RO"/>
        </w:rPr>
        <w:t>şi</w:t>
      </w:r>
      <w:proofErr w:type="spellEnd"/>
      <w:r w:rsidR="008426A3" w:rsidRPr="00CD48F9">
        <w:rPr>
          <w:lang w:val="ro-RO"/>
        </w:rPr>
        <w:t xml:space="preserve"> </w:t>
      </w:r>
      <w:proofErr w:type="spellStart"/>
      <w:r w:rsidR="008426A3" w:rsidRPr="00CD48F9">
        <w:rPr>
          <w:lang w:val="ro-RO"/>
        </w:rPr>
        <w:t>demnităţilor</w:t>
      </w:r>
      <w:proofErr w:type="spellEnd"/>
      <w:r w:rsidR="008426A3" w:rsidRPr="00CD48F9">
        <w:rPr>
          <w:lang w:val="ro-RO"/>
        </w:rPr>
        <w:t xml:space="preserve"> publice</w:t>
      </w:r>
      <w:r w:rsidRPr="00CD48F9">
        <w:rPr>
          <w:lang w:val="ro-RO"/>
        </w:rPr>
        <w:t xml:space="preserve">, </w:t>
      </w:r>
      <w:r w:rsidR="00823632" w:rsidRPr="00CD48F9">
        <w:rPr>
          <w:lang w:val="ro-RO"/>
        </w:rPr>
        <w:t>în cursul anului 2019</w:t>
      </w:r>
      <w:r w:rsidR="00395CFA" w:rsidRPr="00CD48F9">
        <w:rPr>
          <w:lang w:val="ro-RO"/>
        </w:rPr>
        <w:t xml:space="preserve">, pe rolul Comisiei de disciplină pentru personalul de specialitate juridică asimilat </w:t>
      </w:r>
      <w:r w:rsidR="008E64A1" w:rsidRPr="00CD48F9">
        <w:rPr>
          <w:lang w:val="ro-RO"/>
        </w:rPr>
        <w:t xml:space="preserve">judecătorilor </w:t>
      </w:r>
      <w:proofErr w:type="spellStart"/>
      <w:r w:rsidR="008E64A1" w:rsidRPr="00CD48F9">
        <w:rPr>
          <w:lang w:val="ro-RO"/>
        </w:rPr>
        <w:t>şi</w:t>
      </w:r>
      <w:proofErr w:type="spellEnd"/>
      <w:r w:rsidR="008E64A1" w:rsidRPr="00CD48F9">
        <w:rPr>
          <w:lang w:val="ro-RO"/>
        </w:rPr>
        <w:t xml:space="preserve"> procurorilor a fost înregistrată o sesiz</w:t>
      </w:r>
      <w:r w:rsidR="003C3FC8" w:rsidRPr="00CD48F9">
        <w:rPr>
          <w:lang w:val="ro-RO"/>
        </w:rPr>
        <w:t>a</w:t>
      </w:r>
      <w:r w:rsidR="008E64A1" w:rsidRPr="00CD48F9">
        <w:rPr>
          <w:lang w:val="ro-RO"/>
        </w:rPr>
        <w:t>re</w:t>
      </w:r>
      <w:r w:rsidR="00395CFA" w:rsidRPr="00CD48F9">
        <w:rPr>
          <w:lang w:val="ro-RO"/>
        </w:rPr>
        <w:t xml:space="preserve">, </w:t>
      </w:r>
      <w:r w:rsidR="008E64A1" w:rsidRPr="00CD48F9">
        <w:rPr>
          <w:lang w:val="ro-RO"/>
        </w:rPr>
        <w:t xml:space="preserve">soluția fiind aceea de respingere a acțiunii disciplinare în temeiul dispozițiilor art. 16 alin. (6) și (9) din Regulamentul privind răspunderea disciplinară a personalului de specialitate juridică asimilat judecătorilor și procurorilor din </w:t>
      </w:r>
      <w:r w:rsidR="00917EAF" w:rsidRPr="00CD48F9">
        <w:rPr>
          <w:lang w:val="ro-RO"/>
        </w:rPr>
        <w:t>MJ</w:t>
      </w:r>
      <w:r w:rsidR="008E64A1" w:rsidRPr="00CD48F9">
        <w:rPr>
          <w:lang w:val="ro-RO"/>
        </w:rPr>
        <w:t>, aprobat prin OMJ nr. 1483/C/2006, cu modificările și completările ulterioare</w:t>
      </w:r>
      <w:r w:rsidR="00395CFA" w:rsidRPr="00CD48F9">
        <w:rPr>
          <w:lang w:val="ro-RO"/>
        </w:rPr>
        <w:t>.</w:t>
      </w:r>
      <w:r w:rsidR="008E64A1" w:rsidRPr="00CD48F9">
        <w:rPr>
          <w:lang w:val="ro-RO"/>
        </w:rPr>
        <w:t xml:space="preserve"> Decizia nr. 1/19.12.2019 prin care a fost respinsă acțiunea disciplinară nu a fost contestată.</w:t>
      </w:r>
      <w:r w:rsidR="00395CFA" w:rsidRPr="00CD48F9">
        <w:rPr>
          <w:lang w:val="ro-RO"/>
        </w:rPr>
        <w:t xml:space="preserve">  </w:t>
      </w:r>
    </w:p>
    <w:p w:rsidR="00B10933" w:rsidRPr="00CD48F9" w:rsidRDefault="00666CF0" w:rsidP="00972E3A">
      <w:pPr>
        <w:spacing w:after="120" w:line="276" w:lineRule="auto"/>
        <w:rPr>
          <w:lang w:val="ro-RO"/>
        </w:rPr>
      </w:pPr>
      <w:r w:rsidRPr="00CD48F9">
        <w:rPr>
          <w:lang w:val="ro-RO"/>
        </w:rPr>
        <w:t>Pe rolul C</w:t>
      </w:r>
      <w:r w:rsidR="00B10933" w:rsidRPr="00CD48F9">
        <w:rPr>
          <w:lang w:val="ro-RO"/>
        </w:rPr>
        <w:t xml:space="preserve">omisiei de disciplină pentru funcționari publici cu statut special, în </w:t>
      </w:r>
      <w:r w:rsidR="00946703" w:rsidRPr="00CD48F9">
        <w:rPr>
          <w:lang w:val="ro-RO"/>
        </w:rPr>
        <w:t>cursul anului 2019 au fost înregistrate 31</w:t>
      </w:r>
      <w:r w:rsidR="00836857" w:rsidRPr="00CD48F9">
        <w:rPr>
          <w:lang w:val="ro-RO"/>
        </w:rPr>
        <w:t xml:space="preserve"> de </w:t>
      </w:r>
      <w:r w:rsidR="00946703" w:rsidRPr="00CD48F9">
        <w:rPr>
          <w:lang w:val="ro-RO"/>
        </w:rPr>
        <w:t>sesizări, dintre care 2</w:t>
      </w:r>
      <w:r w:rsidR="00B10933" w:rsidRPr="00CD48F9">
        <w:rPr>
          <w:lang w:val="ro-RO"/>
        </w:rPr>
        <w:t>6 au f</w:t>
      </w:r>
      <w:r w:rsidR="00946703" w:rsidRPr="00CD48F9">
        <w:rPr>
          <w:lang w:val="ro-RO"/>
        </w:rPr>
        <w:t>ost soluționate. Au fost emise 2</w:t>
      </w:r>
      <w:r w:rsidR="00B10933" w:rsidRPr="00CD48F9">
        <w:rPr>
          <w:lang w:val="ro-RO"/>
        </w:rPr>
        <w:t xml:space="preserve"> decizii de confirmare a încălcării normei</w:t>
      </w:r>
      <w:r w:rsidR="003978A7" w:rsidRPr="00CD48F9">
        <w:rPr>
          <w:lang w:val="ro-RO"/>
        </w:rPr>
        <w:t>,</w:t>
      </w:r>
      <w:r w:rsidR="00B10933" w:rsidRPr="00CD48F9">
        <w:rPr>
          <w:lang w:val="ro-RO"/>
        </w:rPr>
        <w:t xml:space="preserve"> iar sancțiunea dispusă</w:t>
      </w:r>
      <w:r w:rsidR="00946703" w:rsidRPr="00CD48F9">
        <w:rPr>
          <w:lang w:val="ro-RO"/>
        </w:rPr>
        <w:t>, în ambele cazuri,</w:t>
      </w:r>
      <w:r w:rsidR="00B10933" w:rsidRPr="00CD48F9">
        <w:rPr>
          <w:lang w:val="ro-RO"/>
        </w:rPr>
        <w:t xml:space="preserve"> a fost de „mustrare scrisă”. Nu au existat decizii ale comisiei modificate sau anulate în instanță. </w:t>
      </w:r>
    </w:p>
    <w:p w:rsidR="008426A3" w:rsidRPr="00CD48F9" w:rsidRDefault="00395CFA" w:rsidP="00972E3A">
      <w:pPr>
        <w:spacing w:after="120" w:line="276" w:lineRule="auto"/>
        <w:rPr>
          <w:lang w:val="ro-RO"/>
        </w:rPr>
      </w:pPr>
      <w:r w:rsidRPr="00CD48F9">
        <w:rPr>
          <w:lang w:val="ro-RO"/>
        </w:rPr>
        <w:t xml:space="preserve">Pe rolul Comisiei de disciplină pentru </w:t>
      </w:r>
      <w:proofErr w:type="spellStart"/>
      <w:r w:rsidRPr="00CD48F9">
        <w:rPr>
          <w:lang w:val="ro-RO"/>
        </w:rPr>
        <w:t>funcţionari</w:t>
      </w:r>
      <w:proofErr w:type="spellEnd"/>
      <w:r w:rsidRPr="00CD48F9">
        <w:rPr>
          <w:lang w:val="ro-RO"/>
        </w:rPr>
        <w:t xml:space="preserve"> publici nu a fost înregistrată nicio sesizare.  </w:t>
      </w:r>
    </w:p>
    <w:p w:rsidR="000B4E74" w:rsidRPr="00CD48F9" w:rsidRDefault="00BB5D91" w:rsidP="00972E3A">
      <w:pPr>
        <w:spacing w:after="120" w:line="276" w:lineRule="auto"/>
        <w:rPr>
          <w:lang w:val="ro-RO"/>
        </w:rPr>
      </w:pPr>
      <w:r w:rsidRPr="00CD48F9">
        <w:rPr>
          <w:lang w:val="ro-RO"/>
        </w:rPr>
        <w:t>L</w:t>
      </w:r>
      <w:r w:rsidR="000B4E74" w:rsidRPr="00CD48F9">
        <w:rPr>
          <w:lang w:val="ro-RO"/>
        </w:rPr>
        <w:t xml:space="preserve">a nivelul </w:t>
      </w:r>
      <w:r w:rsidR="004E1B07" w:rsidRPr="00CD48F9">
        <w:rPr>
          <w:lang w:val="ro-RO"/>
        </w:rPr>
        <w:t>ANP</w:t>
      </w:r>
      <w:r w:rsidRPr="00CD48F9">
        <w:rPr>
          <w:lang w:val="ro-RO"/>
        </w:rPr>
        <w:t>,</w:t>
      </w:r>
      <w:r w:rsidR="000B4E74" w:rsidRPr="00CD48F9">
        <w:rPr>
          <w:lang w:val="ro-RO"/>
        </w:rPr>
        <w:t xml:space="preserve"> </w:t>
      </w:r>
      <w:r w:rsidRPr="00CD48F9">
        <w:rPr>
          <w:lang w:val="ro-RO"/>
        </w:rPr>
        <w:t xml:space="preserve">în anul 2019 </w:t>
      </w:r>
      <w:r w:rsidR="000B4E74" w:rsidRPr="00CD48F9">
        <w:rPr>
          <w:lang w:val="ro-RO"/>
        </w:rPr>
        <w:t>au fost înregistrate</w:t>
      </w:r>
      <w:r w:rsidRPr="00CD48F9">
        <w:rPr>
          <w:lang w:val="ro-RO"/>
        </w:rPr>
        <w:t>,</w:t>
      </w:r>
      <w:r w:rsidR="000B4E74" w:rsidRPr="00CD48F9">
        <w:rPr>
          <w:lang w:val="ro-RO"/>
        </w:rPr>
        <w:t xml:space="preserve"> la comisiile </w:t>
      </w:r>
      <w:r w:rsidR="004E1B07" w:rsidRPr="00CD48F9">
        <w:rPr>
          <w:lang w:val="ro-RO"/>
        </w:rPr>
        <w:t>de disciplină</w:t>
      </w:r>
      <w:r w:rsidRPr="00CD48F9">
        <w:rPr>
          <w:lang w:val="ro-RO"/>
        </w:rPr>
        <w:t>,</w:t>
      </w:r>
      <w:r w:rsidR="004E1B07" w:rsidRPr="00CD48F9">
        <w:rPr>
          <w:lang w:val="ro-RO"/>
        </w:rPr>
        <w:t xml:space="preserve"> 369 de sesizări, din care 295 au fost </w:t>
      </w:r>
      <w:proofErr w:type="spellStart"/>
      <w:r w:rsidR="004E1B07" w:rsidRPr="00CD48F9">
        <w:rPr>
          <w:lang w:val="ro-RO"/>
        </w:rPr>
        <w:t>soluţionate</w:t>
      </w:r>
      <w:proofErr w:type="spellEnd"/>
      <w:r w:rsidR="004E1B07" w:rsidRPr="00CD48F9">
        <w:rPr>
          <w:lang w:val="ro-RO"/>
        </w:rPr>
        <w:t>. O singură decizie a comisi</w:t>
      </w:r>
      <w:r w:rsidR="00836857" w:rsidRPr="00CD48F9">
        <w:rPr>
          <w:lang w:val="ro-RO"/>
        </w:rPr>
        <w:t>ei de disciplină a fost anulată/</w:t>
      </w:r>
      <w:r w:rsidR="004E1B07" w:rsidRPr="00CD48F9">
        <w:rPr>
          <w:lang w:val="ro-RO"/>
        </w:rPr>
        <w:t>modificată în instanță, iar 15</w:t>
      </w:r>
      <w:r w:rsidR="000B4E74" w:rsidRPr="00CD48F9">
        <w:rPr>
          <w:lang w:val="ro-RO"/>
        </w:rPr>
        <w:t xml:space="preserve"> persoane au </w:t>
      </w:r>
      <w:proofErr w:type="spellStart"/>
      <w:r w:rsidR="000B4E74" w:rsidRPr="00CD48F9">
        <w:rPr>
          <w:lang w:val="ro-RO"/>
        </w:rPr>
        <w:t>săvârşit</w:t>
      </w:r>
      <w:proofErr w:type="spellEnd"/>
      <w:r w:rsidR="00AA0567" w:rsidRPr="00CD48F9">
        <w:rPr>
          <w:lang w:val="ro-RO"/>
        </w:rPr>
        <w:t>,</w:t>
      </w:r>
      <w:r w:rsidR="000B4E74" w:rsidRPr="00CD48F9">
        <w:rPr>
          <w:lang w:val="ro-RO"/>
        </w:rPr>
        <w:t xml:space="preserve"> în </w:t>
      </w:r>
      <w:r w:rsidR="004E1B07" w:rsidRPr="00CD48F9">
        <w:rPr>
          <w:lang w:val="ro-RO"/>
        </w:rPr>
        <w:t>mod repetat</w:t>
      </w:r>
      <w:r w:rsidR="00AA0567" w:rsidRPr="00CD48F9">
        <w:rPr>
          <w:lang w:val="ro-RO"/>
        </w:rPr>
        <w:t>,</w:t>
      </w:r>
      <w:r w:rsidR="004E1B07" w:rsidRPr="00CD48F9">
        <w:rPr>
          <w:lang w:val="ro-RO"/>
        </w:rPr>
        <w:t xml:space="preserve"> abateri de la normele deontologice</w:t>
      </w:r>
      <w:r w:rsidR="000B4E74" w:rsidRPr="00CD48F9">
        <w:rPr>
          <w:lang w:val="ro-RO"/>
        </w:rPr>
        <w:t xml:space="preserve">. </w:t>
      </w:r>
    </w:p>
    <w:p w:rsidR="000B4E74" w:rsidRPr="00CD48F9" w:rsidRDefault="006338C9" w:rsidP="00972E3A">
      <w:pPr>
        <w:spacing w:after="120" w:line="276" w:lineRule="auto"/>
        <w:rPr>
          <w:lang w:val="ro-RO"/>
        </w:rPr>
      </w:pPr>
      <w:r w:rsidRPr="00CD48F9">
        <w:rPr>
          <w:lang w:val="ro-RO"/>
        </w:rPr>
        <w:t xml:space="preserve">La nivelul </w:t>
      </w:r>
      <w:r w:rsidR="00BB5D91" w:rsidRPr="00CD48F9">
        <w:rPr>
          <w:lang w:val="ro-RO"/>
        </w:rPr>
        <w:t>DNP</w:t>
      </w:r>
      <w:r w:rsidRPr="00CD48F9">
        <w:rPr>
          <w:lang w:val="ro-RO"/>
        </w:rPr>
        <w:t xml:space="preserve"> nu au fost înregistrar</w:t>
      </w:r>
      <w:r w:rsidR="00BB5D91" w:rsidRPr="00CD48F9">
        <w:rPr>
          <w:lang w:val="ro-RO"/>
        </w:rPr>
        <w:t>e sesizări disciplinare privind</w:t>
      </w:r>
      <w:r w:rsidRPr="00CD48F9">
        <w:rPr>
          <w:lang w:val="ro-RO"/>
        </w:rPr>
        <w:t xml:space="preserve"> încălcarea standardelor etice și de conduită anticorupție. </w:t>
      </w:r>
    </w:p>
    <w:p w:rsidR="00395CFA" w:rsidRPr="00CD48F9" w:rsidRDefault="00395CFA" w:rsidP="00972E3A">
      <w:pPr>
        <w:spacing w:after="120" w:line="276" w:lineRule="auto"/>
        <w:rPr>
          <w:lang w:val="ro-RO"/>
        </w:rPr>
      </w:pPr>
      <w:r w:rsidRPr="00CD48F9">
        <w:rPr>
          <w:b/>
          <w:lang w:val="ro-RO"/>
        </w:rPr>
        <w:t>Măsura 5.1.3.</w:t>
      </w:r>
      <w:r w:rsidRPr="00CD48F9">
        <w:rPr>
          <w:lang w:val="ro-RO"/>
        </w:rPr>
        <w:t xml:space="preserve"> privind </w:t>
      </w:r>
      <w:r w:rsidR="008F1BB0" w:rsidRPr="00CD48F9">
        <w:rPr>
          <w:lang w:val="ro-RO"/>
        </w:rPr>
        <w:t xml:space="preserve">utilizarea la nivelul </w:t>
      </w:r>
      <w:proofErr w:type="spellStart"/>
      <w:r w:rsidR="008F1BB0" w:rsidRPr="00CD48F9">
        <w:rPr>
          <w:lang w:val="ro-RO"/>
        </w:rPr>
        <w:t>instituţiilor</w:t>
      </w:r>
      <w:proofErr w:type="spellEnd"/>
      <w:r w:rsidR="008F1BB0" w:rsidRPr="00CD48F9">
        <w:rPr>
          <w:lang w:val="ro-RO"/>
        </w:rPr>
        <w:t xml:space="preserve"> publice a infrastructurii dezvoltate în cadrul sistemului </w:t>
      </w:r>
      <w:proofErr w:type="spellStart"/>
      <w:r w:rsidR="008F1BB0" w:rsidRPr="00CD48F9">
        <w:rPr>
          <w:lang w:val="ro-RO"/>
        </w:rPr>
        <w:t>naţional</w:t>
      </w:r>
      <w:proofErr w:type="spellEnd"/>
      <w:r w:rsidR="008F1BB0" w:rsidRPr="00CD48F9">
        <w:rPr>
          <w:lang w:val="ro-RO"/>
        </w:rPr>
        <w:t xml:space="preserve"> de raportare potrivit prevederilor O.U.G. nr. 88/2013</w:t>
      </w:r>
      <w:r w:rsidR="0009273D" w:rsidRPr="00CD48F9">
        <w:rPr>
          <w:rStyle w:val="FootnoteReference"/>
          <w:lang w:val="ro-RO"/>
        </w:rPr>
        <w:footnoteReference w:id="24"/>
      </w:r>
      <w:r w:rsidR="008F1BB0" w:rsidRPr="00CD48F9">
        <w:rPr>
          <w:lang w:val="ro-RO"/>
        </w:rPr>
        <w:t xml:space="preserve"> a fost implementată în</w:t>
      </w:r>
      <w:r w:rsidR="0009273D" w:rsidRPr="00CD48F9">
        <w:rPr>
          <w:lang w:val="ro-RO"/>
        </w:rPr>
        <w:t>cepând cu luna septembrie</w:t>
      </w:r>
      <w:r w:rsidR="008F1BB0" w:rsidRPr="00CD48F9">
        <w:rPr>
          <w:lang w:val="ro-RO"/>
        </w:rPr>
        <w:t xml:space="preserve"> 2017, prin </w:t>
      </w:r>
      <w:r w:rsidR="006D0163" w:rsidRPr="00CD48F9">
        <w:rPr>
          <w:lang w:val="ro-RO"/>
        </w:rPr>
        <w:t>raportarea</w:t>
      </w:r>
      <w:r w:rsidR="009B03F6" w:rsidRPr="00CD48F9">
        <w:rPr>
          <w:lang w:val="ro-RO"/>
        </w:rPr>
        <w:t xml:space="preserve"> formularelor financiar-contabile</w:t>
      </w:r>
      <w:r w:rsidR="006D0163" w:rsidRPr="00CD48F9">
        <w:rPr>
          <w:lang w:val="ro-RO"/>
        </w:rPr>
        <w:t xml:space="preserve"> în sistemul </w:t>
      </w:r>
      <w:proofErr w:type="spellStart"/>
      <w:r w:rsidR="006D0163" w:rsidRPr="00CD48F9">
        <w:rPr>
          <w:lang w:val="ro-RO"/>
        </w:rPr>
        <w:t>naţional</w:t>
      </w:r>
      <w:proofErr w:type="spellEnd"/>
      <w:r w:rsidR="006D0163" w:rsidRPr="00CD48F9">
        <w:rPr>
          <w:lang w:val="ro-RO"/>
        </w:rPr>
        <w:t xml:space="preserve"> FOREXEBUG</w:t>
      </w:r>
      <w:r w:rsidR="009B03F6" w:rsidRPr="00CD48F9">
        <w:rPr>
          <w:lang w:val="ro-RO"/>
        </w:rPr>
        <w:t>, respectând termenele stabilite prim OMFP      nr. 1026/20.07.2017</w:t>
      </w:r>
      <w:r w:rsidR="009B03F6" w:rsidRPr="00CD48F9">
        <w:rPr>
          <w:rStyle w:val="FootnoteReference"/>
          <w:lang w:val="ro-RO"/>
        </w:rPr>
        <w:footnoteReference w:id="25"/>
      </w:r>
      <w:r w:rsidR="006D0163" w:rsidRPr="00CD48F9">
        <w:rPr>
          <w:lang w:val="ro-RO"/>
        </w:rPr>
        <w:t>.</w:t>
      </w:r>
    </w:p>
    <w:p w:rsidR="00843886" w:rsidRPr="00CD48F9" w:rsidRDefault="00843886" w:rsidP="00972E3A">
      <w:pPr>
        <w:spacing w:after="120" w:line="276" w:lineRule="auto"/>
        <w:rPr>
          <w:lang w:val="ro-RO"/>
        </w:rPr>
      </w:pPr>
      <w:r w:rsidRPr="00CD48F9">
        <w:rPr>
          <w:lang w:val="ro-RO"/>
        </w:rPr>
        <w:t>În acest sens, la data de 12.11.2019 a fost completată procedura de proces PP-20 – Financiar Contabilitate cu activitățile care decurg din obligațiile MJ cu privire la modul de raportare a angajamentelor în Sistemul Național de Raportare FOREXBUG și activitățile care decurg din obligațiile MJ cu privire la modul de raportare a situațiilor financiare în Sistemul Național de Raportare FOREXBUG</w:t>
      </w:r>
      <w:r w:rsidR="00E9659B" w:rsidRPr="00CD48F9">
        <w:rPr>
          <w:lang w:val="ro-RO"/>
        </w:rPr>
        <w:t>, precum și arhivarea documentelor.</w:t>
      </w:r>
    </w:p>
    <w:p w:rsidR="00E9659B" w:rsidRPr="00CD48F9" w:rsidRDefault="00E9659B" w:rsidP="00972E3A">
      <w:pPr>
        <w:spacing w:after="120" w:line="276" w:lineRule="auto"/>
        <w:rPr>
          <w:lang w:val="ro-RO"/>
        </w:rPr>
      </w:pPr>
      <w:r w:rsidRPr="00CD48F9">
        <w:rPr>
          <w:lang w:val="ro-RO"/>
        </w:rPr>
        <w:t>Procedura de proces este afișată pe pagina de intranet a MJ – intranet.just.ro.</w:t>
      </w:r>
    </w:p>
    <w:p w:rsidR="00823632" w:rsidRPr="00CD48F9" w:rsidRDefault="00BB5D91" w:rsidP="00972E3A">
      <w:pPr>
        <w:spacing w:after="120" w:line="276" w:lineRule="auto"/>
        <w:rPr>
          <w:lang w:val="ro-RO"/>
        </w:rPr>
      </w:pPr>
      <w:r w:rsidRPr="00CD48F9">
        <w:rPr>
          <w:lang w:val="ro-RO"/>
        </w:rPr>
        <w:t xml:space="preserve">Referitor la </w:t>
      </w:r>
      <w:r w:rsidRPr="00CD48F9">
        <w:rPr>
          <w:b/>
          <w:lang w:val="ro-RO"/>
        </w:rPr>
        <w:t>măsura 5.1.4.</w:t>
      </w:r>
      <w:r w:rsidRPr="00CD48F9">
        <w:rPr>
          <w:lang w:val="ro-RO"/>
        </w:rPr>
        <w:t xml:space="preserve"> privind p</w:t>
      </w:r>
      <w:r w:rsidR="006D0163" w:rsidRPr="00CD48F9">
        <w:rPr>
          <w:lang w:val="ro-RO"/>
        </w:rPr>
        <w:t xml:space="preserve">ublicarea unui studiu privind sistemul </w:t>
      </w:r>
      <w:proofErr w:type="spellStart"/>
      <w:r w:rsidR="006D0163" w:rsidRPr="00CD48F9">
        <w:rPr>
          <w:lang w:val="ro-RO"/>
        </w:rPr>
        <w:t>sancţiunilor</w:t>
      </w:r>
      <w:proofErr w:type="spellEnd"/>
      <w:r w:rsidR="006D0163" w:rsidRPr="00CD48F9">
        <w:rPr>
          <w:lang w:val="ro-RO"/>
        </w:rPr>
        <w:t xml:space="preserve"> administrative</w:t>
      </w:r>
      <w:r w:rsidRPr="00CD48F9">
        <w:rPr>
          <w:lang w:val="ro-RO"/>
        </w:rPr>
        <w:t>, implementarea se realizează</w:t>
      </w:r>
      <w:r w:rsidR="006D0163" w:rsidRPr="00CD48F9">
        <w:rPr>
          <w:lang w:val="ro-RO"/>
        </w:rPr>
        <w:t xml:space="preserve"> prin proiectul „</w:t>
      </w:r>
      <w:r w:rsidR="006D0163" w:rsidRPr="00CD48F9">
        <w:rPr>
          <w:i/>
          <w:lang w:val="ro-RO"/>
        </w:rPr>
        <w:t>Mecanisme eficace de control administrativ și de prevenire a corupției</w:t>
      </w:r>
      <w:r w:rsidR="006D0163" w:rsidRPr="00CD48F9">
        <w:rPr>
          <w:lang w:val="ro-RO"/>
        </w:rPr>
        <w:t xml:space="preserve">”, cod SIPOCA 432, derulat de către SGG, în calitate de lider de proiect și MJ, în calitate de partener. Una din activitățile proiectului o reprezintă publicarea unui studiu privind sistemul </w:t>
      </w:r>
      <w:proofErr w:type="spellStart"/>
      <w:r w:rsidR="006D0163" w:rsidRPr="00CD48F9">
        <w:rPr>
          <w:lang w:val="ro-RO"/>
        </w:rPr>
        <w:t>sancţiunilor</w:t>
      </w:r>
      <w:proofErr w:type="spellEnd"/>
      <w:r w:rsidR="006D0163" w:rsidRPr="00CD48F9">
        <w:rPr>
          <w:lang w:val="ro-RO"/>
        </w:rPr>
        <w:t xml:space="preserve"> administrativ</w:t>
      </w:r>
      <w:r w:rsidR="000452C1" w:rsidRPr="00CD48F9">
        <w:rPr>
          <w:lang w:val="ro-RO"/>
        </w:rPr>
        <w:t xml:space="preserve">e </w:t>
      </w:r>
      <w:proofErr w:type="spellStart"/>
      <w:r w:rsidR="000452C1" w:rsidRPr="00CD48F9">
        <w:rPr>
          <w:lang w:val="ro-RO"/>
        </w:rPr>
        <w:t>şi</w:t>
      </w:r>
      <w:proofErr w:type="spellEnd"/>
      <w:r w:rsidR="000452C1" w:rsidRPr="00CD48F9">
        <w:rPr>
          <w:lang w:val="ro-RO"/>
        </w:rPr>
        <w:t xml:space="preserve"> implementarea lui,</w:t>
      </w:r>
      <w:r w:rsidR="006D0163" w:rsidRPr="00CD48F9">
        <w:rPr>
          <w:lang w:val="ro-RO"/>
        </w:rPr>
        <w:t xml:space="preserve"> </w:t>
      </w:r>
      <w:r w:rsidR="000452C1" w:rsidRPr="00CD48F9">
        <w:rPr>
          <w:lang w:val="ro-RO"/>
        </w:rPr>
        <w:t xml:space="preserve">activitate ce </w:t>
      </w:r>
      <w:r w:rsidR="006D0163" w:rsidRPr="00CD48F9">
        <w:rPr>
          <w:lang w:val="ro-RO"/>
        </w:rPr>
        <w:t xml:space="preserve">intră în sarcina MJ, în </w:t>
      </w:r>
      <w:r w:rsidR="000452C1" w:rsidRPr="00CD48F9">
        <w:rPr>
          <w:lang w:val="ro-RO"/>
        </w:rPr>
        <w:t>calitate</w:t>
      </w:r>
      <w:r w:rsidR="00823632" w:rsidRPr="00CD48F9">
        <w:rPr>
          <w:lang w:val="ro-RO"/>
        </w:rPr>
        <w:t xml:space="preserve"> de partener în proiect. </w:t>
      </w:r>
      <w:bookmarkStart w:id="30" w:name="_Toc3376531"/>
      <w:r w:rsidR="00823632" w:rsidRPr="00CD48F9">
        <w:rPr>
          <w:lang w:val="ro-RO"/>
        </w:rPr>
        <w:t xml:space="preserve">În acest context, la data de 29 mai 2019 a fost semnat contractul de servicii, având ca obiect realizarea studiului privind sistemul </w:t>
      </w:r>
      <w:proofErr w:type="spellStart"/>
      <w:r w:rsidR="00823632" w:rsidRPr="00CD48F9">
        <w:rPr>
          <w:lang w:val="ro-RO"/>
        </w:rPr>
        <w:t>sancţiunilor</w:t>
      </w:r>
      <w:proofErr w:type="spellEnd"/>
      <w:r w:rsidR="00823632" w:rsidRPr="00CD48F9">
        <w:rPr>
          <w:lang w:val="ro-RO"/>
        </w:rPr>
        <w:t xml:space="preserve"> administrative (</w:t>
      </w:r>
      <w:proofErr w:type="spellStart"/>
      <w:r w:rsidR="00823632" w:rsidRPr="00CD48F9">
        <w:rPr>
          <w:lang w:val="ro-RO"/>
        </w:rPr>
        <w:t>sancţiunile</w:t>
      </w:r>
      <w:proofErr w:type="spellEnd"/>
      <w:r w:rsidR="00823632" w:rsidRPr="00CD48F9">
        <w:rPr>
          <w:lang w:val="ro-RO"/>
        </w:rPr>
        <w:t xml:space="preserve"> disciplinare </w:t>
      </w:r>
      <w:proofErr w:type="spellStart"/>
      <w:r w:rsidR="00823632" w:rsidRPr="00CD48F9">
        <w:rPr>
          <w:lang w:val="ro-RO"/>
        </w:rPr>
        <w:t>şi</w:t>
      </w:r>
      <w:proofErr w:type="spellEnd"/>
      <w:r w:rsidR="00823632" w:rsidRPr="00CD48F9">
        <w:rPr>
          <w:lang w:val="ro-RO"/>
        </w:rPr>
        <w:t xml:space="preserve"> </w:t>
      </w:r>
      <w:proofErr w:type="spellStart"/>
      <w:r w:rsidR="00823632" w:rsidRPr="00CD48F9">
        <w:rPr>
          <w:lang w:val="ro-RO"/>
        </w:rPr>
        <w:t>sancţiunile</w:t>
      </w:r>
      <w:proofErr w:type="spellEnd"/>
      <w:r w:rsidR="00823632" w:rsidRPr="00CD48F9">
        <w:rPr>
          <w:lang w:val="ro-RO"/>
        </w:rPr>
        <w:t xml:space="preserve"> aplicate de </w:t>
      </w:r>
      <w:proofErr w:type="spellStart"/>
      <w:r w:rsidR="00823632" w:rsidRPr="00CD48F9">
        <w:rPr>
          <w:lang w:val="ro-RO"/>
        </w:rPr>
        <w:t>autorităţile</w:t>
      </w:r>
      <w:proofErr w:type="spellEnd"/>
      <w:r w:rsidR="00823632" w:rsidRPr="00CD48F9">
        <w:rPr>
          <w:lang w:val="ro-RO"/>
        </w:rPr>
        <w:t xml:space="preserve"> de control) </w:t>
      </w:r>
      <w:proofErr w:type="spellStart"/>
      <w:r w:rsidR="00823632" w:rsidRPr="00CD48F9">
        <w:rPr>
          <w:lang w:val="ro-RO"/>
        </w:rPr>
        <w:t>şi</w:t>
      </w:r>
      <w:proofErr w:type="spellEnd"/>
      <w:r w:rsidR="00823632" w:rsidRPr="00CD48F9">
        <w:rPr>
          <w:lang w:val="ro-RO"/>
        </w:rPr>
        <w:t xml:space="preserve"> implementarea lui. </w:t>
      </w:r>
      <w:r w:rsidR="00B03962" w:rsidRPr="00CD48F9">
        <w:rPr>
          <w:lang w:val="ro-RO"/>
        </w:rPr>
        <w:t xml:space="preserve">La </w:t>
      </w:r>
      <w:r w:rsidR="00823632" w:rsidRPr="00CD48F9">
        <w:rPr>
          <w:lang w:val="ro-RO"/>
        </w:rPr>
        <w:t xml:space="preserve">data de 25.11.2019 a fost recepționată </w:t>
      </w:r>
      <w:r w:rsidR="00823632" w:rsidRPr="00CD48F9">
        <w:rPr>
          <w:lang w:val="ro-RO"/>
        </w:rPr>
        <w:lastRenderedPageBreak/>
        <w:t>forma finală a</w:t>
      </w:r>
      <w:r w:rsidR="00823632" w:rsidRPr="00CD48F9">
        <w:rPr>
          <w:i/>
          <w:lang w:val="ro-RO"/>
        </w:rPr>
        <w:t xml:space="preserve"> Raportului de analiză cantitativă a datelor.</w:t>
      </w:r>
      <w:r w:rsidR="00823632" w:rsidRPr="00CD48F9">
        <w:rPr>
          <w:lang w:val="ro-RO"/>
        </w:rPr>
        <w:t xml:space="preserve"> De asemenea, la data de 11.12.2019 a fost recepționată forma finală a </w:t>
      </w:r>
      <w:r w:rsidR="00823632" w:rsidRPr="00CD48F9">
        <w:rPr>
          <w:i/>
          <w:lang w:val="ro-RO"/>
        </w:rPr>
        <w:t xml:space="preserve">Raportului de analiză a datelor ulterior aplicării interviului. </w:t>
      </w:r>
      <w:r w:rsidR="00823632" w:rsidRPr="00CD48F9">
        <w:rPr>
          <w:lang w:val="ro-RO"/>
        </w:rPr>
        <w:t xml:space="preserve">Studiul privind sistemul </w:t>
      </w:r>
      <w:proofErr w:type="spellStart"/>
      <w:r w:rsidR="00823632" w:rsidRPr="00CD48F9">
        <w:rPr>
          <w:lang w:val="ro-RO"/>
        </w:rPr>
        <w:t>sancţiunilor</w:t>
      </w:r>
      <w:proofErr w:type="spellEnd"/>
      <w:r w:rsidR="00823632" w:rsidRPr="00CD48F9">
        <w:rPr>
          <w:lang w:val="ro-RO"/>
        </w:rPr>
        <w:t xml:space="preserve"> administrative și implementarea lui </w:t>
      </w:r>
      <w:r w:rsidR="00B03962" w:rsidRPr="00CD48F9">
        <w:rPr>
          <w:lang w:val="ro-RO"/>
        </w:rPr>
        <w:t>a fost recepționat în luna martie 2020</w:t>
      </w:r>
      <w:r w:rsidR="00823632" w:rsidRPr="00CD48F9">
        <w:rPr>
          <w:lang w:val="ro-RO"/>
        </w:rPr>
        <w:t>,</w:t>
      </w:r>
      <w:r w:rsidR="00B03962" w:rsidRPr="00CD48F9">
        <w:rPr>
          <w:lang w:val="ro-RO"/>
        </w:rPr>
        <w:t xml:space="preserve"> fiind elaborat</w:t>
      </w:r>
      <w:r w:rsidR="00823632" w:rsidRPr="00CD48F9">
        <w:rPr>
          <w:lang w:val="ro-RO"/>
        </w:rPr>
        <w:t xml:space="preserve"> pe baza celor două rapoarte sus menționate. </w:t>
      </w:r>
    </w:p>
    <w:p w:rsidR="00893C55" w:rsidRPr="00CD48F9" w:rsidRDefault="00CB03C6" w:rsidP="00972E3A">
      <w:pPr>
        <w:pStyle w:val="Title"/>
        <w:spacing w:before="0" w:after="120" w:line="276" w:lineRule="auto"/>
        <w:jc w:val="both"/>
        <w:rPr>
          <w:rFonts w:ascii="Trebuchet MS" w:hAnsi="Trebuchet MS"/>
          <w:sz w:val="22"/>
          <w:szCs w:val="22"/>
          <w:lang w:val="ro-RO"/>
        </w:rPr>
      </w:pPr>
      <w:r w:rsidRPr="00CD48F9">
        <w:rPr>
          <w:rFonts w:ascii="Trebuchet MS" w:hAnsi="Trebuchet MS"/>
          <w:sz w:val="22"/>
          <w:szCs w:val="22"/>
          <w:lang w:val="ro-RO"/>
        </w:rPr>
        <w:t>7</w:t>
      </w:r>
      <w:r w:rsidR="00893C55" w:rsidRPr="00CD48F9">
        <w:rPr>
          <w:rFonts w:ascii="Trebuchet MS" w:hAnsi="Trebuchet MS"/>
          <w:sz w:val="22"/>
          <w:szCs w:val="22"/>
          <w:lang w:val="ro-RO"/>
        </w:rPr>
        <w:t xml:space="preserve">.2. </w:t>
      </w:r>
      <w:proofErr w:type="spellStart"/>
      <w:r w:rsidR="00893C55" w:rsidRPr="00CD48F9">
        <w:rPr>
          <w:rFonts w:ascii="Trebuchet MS" w:hAnsi="Trebuchet MS"/>
          <w:sz w:val="22"/>
          <w:szCs w:val="22"/>
          <w:lang w:val="ro-RO"/>
        </w:rPr>
        <w:t>Creşterea</w:t>
      </w:r>
      <w:proofErr w:type="spellEnd"/>
      <w:r w:rsidR="00893C55" w:rsidRPr="00CD48F9">
        <w:rPr>
          <w:rFonts w:ascii="Trebuchet MS" w:hAnsi="Trebuchet MS"/>
          <w:sz w:val="22"/>
          <w:szCs w:val="22"/>
          <w:lang w:val="ro-RO"/>
        </w:rPr>
        <w:t xml:space="preserve"> gradului de recuperare a produselor </w:t>
      </w:r>
      <w:proofErr w:type="spellStart"/>
      <w:r w:rsidR="00893C55" w:rsidRPr="00CD48F9">
        <w:rPr>
          <w:rFonts w:ascii="Trebuchet MS" w:hAnsi="Trebuchet MS"/>
          <w:sz w:val="22"/>
          <w:szCs w:val="22"/>
          <w:lang w:val="ro-RO"/>
        </w:rPr>
        <w:t>infracţiunilor</w:t>
      </w:r>
      <w:proofErr w:type="spellEnd"/>
      <w:r w:rsidR="00893C55" w:rsidRPr="00CD48F9">
        <w:rPr>
          <w:rFonts w:ascii="Trebuchet MS" w:hAnsi="Trebuchet MS"/>
          <w:sz w:val="22"/>
          <w:szCs w:val="22"/>
          <w:lang w:val="ro-RO"/>
        </w:rPr>
        <w:t xml:space="preserve"> urmând cele mai bune practici din alte state membre UE </w:t>
      </w:r>
      <w:proofErr w:type="spellStart"/>
      <w:r w:rsidR="00893C55" w:rsidRPr="00CD48F9">
        <w:rPr>
          <w:rFonts w:ascii="Trebuchet MS" w:hAnsi="Trebuchet MS"/>
          <w:sz w:val="22"/>
          <w:szCs w:val="22"/>
          <w:lang w:val="ro-RO"/>
        </w:rPr>
        <w:t>şi</w:t>
      </w:r>
      <w:proofErr w:type="spellEnd"/>
      <w:r w:rsidR="00893C55" w:rsidRPr="00CD48F9">
        <w:rPr>
          <w:rFonts w:ascii="Trebuchet MS" w:hAnsi="Trebuchet MS"/>
          <w:sz w:val="22"/>
          <w:szCs w:val="22"/>
          <w:lang w:val="ro-RO"/>
        </w:rPr>
        <w:t xml:space="preserve"> consolidarea practicii judiciare</w:t>
      </w:r>
      <w:r w:rsidR="002F1DFC" w:rsidRPr="00CD48F9">
        <w:rPr>
          <w:rFonts w:ascii="Trebuchet MS" w:hAnsi="Trebuchet MS"/>
          <w:sz w:val="22"/>
          <w:szCs w:val="22"/>
          <w:lang w:val="ro-RO"/>
        </w:rPr>
        <w:t xml:space="preserve"> (Obiectivul specific 5.2)</w:t>
      </w:r>
      <w:bookmarkEnd w:id="30"/>
    </w:p>
    <w:p w:rsidR="00A80F1B" w:rsidRPr="00CD48F9" w:rsidRDefault="000452C1" w:rsidP="00972E3A">
      <w:pPr>
        <w:spacing w:after="120" w:line="276" w:lineRule="auto"/>
        <w:rPr>
          <w:lang w:val="ro-RO"/>
        </w:rPr>
      </w:pPr>
      <w:r w:rsidRPr="00CD48F9">
        <w:rPr>
          <w:b/>
          <w:lang w:val="ro-RO"/>
        </w:rPr>
        <w:t>Măsura 5.2.1.</w:t>
      </w:r>
      <w:r w:rsidRPr="00CD48F9">
        <w:rPr>
          <w:lang w:val="ro-RO"/>
        </w:rPr>
        <w:t xml:space="preserve"> privind elaborarea </w:t>
      </w:r>
      <w:proofErr w:type="spellStart"/>
      <w:r w:rsidRPr="00CD48F9">
        <w:rPr>
          <w:lang w:val="ro-RO"/>
        </w:rPr>
        <w:t>şi</w:t>
      </w:r>
      <w:proofErr w:type="spellEnd"/>
      <w:r w:rsidRPr="00CD48F9">
        <w:rPr>
          <w:lang w:val="ro-RO"/>
        </w:rPr>
        <w:t xml:space="preserve"> </w:t>
      </w:r>
      <w:proofErr w:type="spellStart"/>
      <w:r w:rsidRPr="00CD48F9">
        <w:rPr>
          <w:lang w:val="ro-RO"/>
        </w:rPr>
        <w:t>susţinerea</w:t>
      </w:r>
      <w:proofErr w:type="spellEnd"/>
      <w:r w:rsidRPr="00CD48F9">
        <w:rPr>
          <w:lang w:val="ro-RO"/>
        </w:rPr>
        <w:t xml:space="preserve"> în Parlament a proiectului de act normativ pentru transpunerea Directivei 2014/42/UE a fost implementată în cursul anului 2017 prin elaborarea unui proiect de lege pentru modificarea unor acte normative în domeniul pena</w:t>
      </w:r>
      <w:r w:rsidR="009C6026" w:rsidRPr="00CD48F9">
        <w:rPr>
          <w:lang w:val="ro-RO"/>
        </w:rPr>
        <w:t>l în vederea transpunerii unor d</w:t>
      </w:r>
      <w:r w:rsidRPr="00CD48F9">
        <w:rPr>
          <w:lang w:val="ro-RO"/>
        </w:rPr>
        <w:t xml:space="preserve">irective ale Uniunii Europene </w:t>
      </w:r>
      <w:proofErr w:type="spellStart"/>
      <w:r w:rsidRPr="00CD48F9">
        <w:rPr>
          <w:lang w:val="ro-RO"/>
        </w:rPr>
        <w:t>şi</w:t>
      </w:r>
      <w:proofErr w:type="spellEnd"/>
      <w:r w:rsidRPr="00CD48F9">
        <w:rPr>
          <w:lang w:val="ro-RO"/>
        </w:rPr>
        <w:t xml:space="preserve"> transmiterea Parlamentului României spre adoptare. </w:t>
      </w:r>
      <w:r w:rsidR="00A80F1B" w:rsidRPr="00CD48F9">
        <w:rPr>
          <w:lang w:val="ro-RO"/>
        </w:rPr>
        <w:t>Proiectul de lege, înregistrat la Senat cu  nr. L217/2017</w:t>
      </w:r>
      <w:r w:rsidR="00A80F1B" w:rsidRPr="00CD48F9">
        <w:rPr>
          <w:rStyle w:val="FootnoteReference"/>
          <w:lang w:val="ro-RO"/>
        </w:rPr>
        <w:footnoteReference w:id="26"/>
      </w:r>
      <w:r w:rsidR="00A80F1B" w:rsidRPr="00CD48F9">
        <w:rPr>
          <w:lang w:val="ro-RO"/>
        </w:rPr>
        <w:t xml:space="preserve"> a fost adoptat la data de 4 decembrie 2017 </w:t>
      </w:r>
      <w:proofErr w:type="spellStart"/>
      <w:r w:rsidR="00A80F1B" w:rsidRPr="00CD48F9">
        <w:rPr>
          <w:lang w:val="ro-RO"/>
        </w:rPr>
        <w:t>şi</w:t>
      </w:r>
      <w:proofErr w:type="spellEnd"/>
      <w:r w:rsidR="00A80F1B" w:rsidRPr="00CD48F9">
        <w:rPr>
          <w:lang w:val="ro-RO"/>
        </w:rPr>
        <w:t xml:space="preserve"> transmis Camerei </w:t>
      </w:r>
      <w:proofErr w:type="spellStart"/>
      <w:r w:rsidR="00A80F1B" w:rsidRPr="00CD48F9">
        <w:rPr>
          <w:lang w:val="ro-RO"/>
        </w:rPr>
        <w:t>Deputaţilor</w:t>
      </w:r>
      <w:proofErr w:type="spellEnd"/>
      <w:r w:rsidR="009C6026" w:rsidRPr="00CD48F9">
        <w:rPr>
          <w:lang w:val="ro-RO"/>
        </w:rPr>
        <w:t>, în calitate de cameră decizională</w:t>
      </w:r>
      <w:r w:rsidR="009C6026" w:rsidRPr="00CD48F9">
        <w:rPr>
          <w:rStyle w:val="FootnoteReference"/>
          <w:lang w:val="ro-RO"/>
        </w:rPr>
        <w:footnoteReference w:id="27"/>
      </w:r>
      <w:r w:rsidR="00A80F1B" w:rsidRPr="00CD48F9">
        <w:rPr>
          <w:lang w:val="ro-RO"/>
        </w:rPr>
        <w:t xml:space="preserve">.   </w:t>
      </w:r>
    </w:p>
    <w:p w:rsidR="00CD48F9" w:rsidRPr="00CD48F9" w:rsidRDefault="000F54FC" w:rsidP="00972E3A">
      <w:pPr>
        <w:spacing w:after="120" w:line="276" w:lineRule="auto"/>
        <w:rPr>
          <w:lang w:val="ro-RO"/>
        </w:rPr>
      </w:pPr>
      <w:r w:rsidRPr="00CD48F9">
        <w:rPr>
          <w:lang w:val="ro-RO"/>
        </w:rPr>
        <w:t xml:space="preserve">Referitor la implementarea </w:t>
      </w:r>
      <w:r w:rsidRPr="00CD48F9">
        <w:rPr>
          <w:b/>
          <w:lang w:val="ro-RO"/>
        </w:rPr>
        <w:t>măsurii 5.2.2.</w:t>
      </w:r>
      <w:r w:rsidRPr="00CD48F9">
        <w:rPr>
          <w:lang w:val="ro-RO"/>
        </w:rPr>
        <w:t xml:space="preserve"> privind d</w:t>
      </w:r>
      <w:r w:rsidR="00A80F1B" w:rsidRPr="00CD48F9">
        <w:rPr>
          <w:lang w:val="ro-RO"/>
        </w:rPr>
        <w:t xml:space="preserve">ezvoltarea </w:t>
      </w:r>
      <w:proofErr w:type="spellStart"/>
      <w:r w:rsidR="00A80F1B" w:rsidRPr="00CD48F9">
        <w:rPr>
          <w:lang w:val="ro-RO"/>
        </w:rPr>
        <w:t>aplicaţiilor</w:t>
      </w:r>
      <w:proofErr w:type="spellEnd"/>
      <w:r w:rsidR="00A80F1B" w:rsidRPr="00CD48F9">
        <w:rPr>
          <w:lang w:val="ro-RO"/>
        </w:rPr>
        <w:t xml:space="preserve"> Oficiului Național al Registrului Comerțului, astfel încât </w:t>
      </w:r>
      <w:proofErr w:type="spellStart"/>
      <w:r w:rsidR="00A80F1B" w:rsidRPr="00CD48F9">
        <w:rPr>
          <w:lang w:val="ro-RO"/>
        </w:rPr>
        <w:t>informaţiile</w:t>
      </w:r>
      <w:proofErr w:type="spellEnd"/>
      <w:r w:rsidR="00A80F1B" w:rsidRPr="00CD48F9">
        <w:rPr>
          <w:lang w:val="ro-RO"/>
        </w:rPr>
        <w:t xml:space="preserve"> privind beneficiarul real să fie puse la </w:t>
      </w:r>
      <w:proofErr w:type="spellStart"/>
      <w:r w:rsidR="00A80F1B" w:rsidRPr="00CD48F9">
        <w:rPr>
          <w:lang w:val="ro-RO"/>
        </w:rPr>
        <w:t>dispoziţia</w:t>
      </w:r>
      <w:proofErr w:type="spellEnd"/>
      <w:r w:rsidR="00A80F1B" w:rsidRPr="00CD48F9">
        <w:rPr>
          <w:lang w:val="ro-RO"/>
        </w:rPr>
        <w:t xml:space="preserve"> </w:t>
      </w:r>
      <w:proofErr w:type="spellStart"/>
      <w:r w:rsidR="00A80F1B" w:rsidRPr="00CD48F9">
        <w:rPr>
          <w:lang w:val="ro-RO"/>
        </w:rPr>
        <w:t>instituţiilor</w:t>
      </w:r>
      <w:proofErr w:type="spellEnd"/>
      <w:r w:rsidR="00A80F1B" w:rsidRPr="00CD48F9">
        <w:rPr>
          <w:lang w:val="ro-RO"/>
        </w:rPr>
        <w:t xml:space="preserve"> abilitate să aplice legea, </w:t>
      </w:r>
      <w:r w:rsidR="00CD48F9" w:rsidRPr="00CD48F9">
        <w:rPr>
          <w:lang w:val="ro-RO"/>
        </w:rPr>
        <w:t xml:space="preserve">menționăm că Registrul beneficiarilor reali este funcțional; pe baza cererii de furnizare a informațiilor existentă pe site-ul ONRC, instituțiile abilitate au acces la informațiile din Registru. După transpunerea Directivei 2018/843 acestea vor putea fi preluate direct din aplicație de către autoritățile abilitate, cu respectarea normelor privind protecția datelor personale. </w:t>
      </w:r>
    </w:p>
    <w:p w:rsidR="004B7787" w:rsidRPr="00CD48F9" w:rsidRDefault="000F54FC" w:rsidP="00972E3A">
      <w:pPr>
        <w:spacing w:after="120" w:line="276" w:lineRule="auto"/>
        <w:rPr>
          <w:lang w:val="ro-RO"/>
        </w:rPr>
      </w:pPr>
      <w:r w:rsidRPr="00CD48F9">
        <w:rPr>
          <w:lang w:val="ro-RO"/>
        </w:rPr>
        <w:t>Cu privire la implementarea</w:t>
      </w:r>
      <w:r w:rsidRPr="00CD48F9">
        <w:rPr>
          <w:b/>
          <w:lang w:val="ro-RO"/>
        </w:rPr>
        <w:t xml:space="preserve"> măsurii</w:t>
      </w:r>
      <w:r w:rsidR="00B85F62" w:rsidRPr="00CD48F9">
        <w:rPr>
          <w:b/>
          <w:lang w:val="ro-RO"/>
        </w:rPr>
        <w:t xml:space="preserve"> 5.2.3.</w:t>
      </w:r>
      <w:r w:rsidR="000B241D" w:rsidRPr="00CD48F9">
        <w:rPr>
          <w:lang w:val="ro-RO"/>
        </w:rPr>
        <w:t xml:space="preserve"> </w:t>
      </w:r>
      <w:r w:rsidRPr="00CD48F9">
        <w:rPr>
          <w:lang w:val="ro-RO"/>
        </w:rPr>
        <w:t>referitoare la a</w:t>
      </w:r>
      <w:r w:rsidR="0030749E" w:rsidRPr="00CD48F9">
        <w:rPr>
          <w:lang w:val="ro-RO"/>
        </w:rPr>
        <w:t xml:space="preserve">sigurarea </w:t>
      </w:r>
      <w:r w:rsidRPr="00CD48F9">
        <w:rPr>
          <w:lang w:val="ro-RO"/>
        </w:rPr>
        <w:t>ANABI</w:t>
      </w:r>
      <w:r w:rsidR="0030749E" w:rsidRPr="00CD48F9">
        <w:rPr>
          <w:lang w:val="ro-RO"/>
        </w:rPr>
        <w:t xml:space="preserve"> cu resursele </w:t>
      </w:r>
      <w:proofErr w:type="spellStart"/>
      <w:r w:rsidR="0030749E" w:rsidRPr="00CD48F9">
        <w:rPr>
          <w:lang w:val="ro-RO"/>
        </w:rPr>
        <w:t>şi</w:t>
      </w:r>
      <w:proofErr w:type="spellEnd"/>
      <w:r w:rsidR="0030749E" w:rsidRPr="00CD48F9">
        <w:rPr>
          <w:lang w:val="ro-RO"/>
        </w:rPr>
        <w:t xml:space="preserve"> </w:t>
      </w:r>
      <w:proofErr w:type="spellStart"/>
      <w:r w:rsidR="0030749E" w:rsidRPr="00CD48F9">
        <w:rPr>
          <w:lang w:val="ro-RO"/>
        </w:rPr>
        <w:t>independenţa</w:t>
      </w:r>
      <w:proofErr w:type="spellEnd"/>
      <w:r w:rsidR="0030749E" w:rsidRPr="00CD48F9">
        <w:rPr>
          <w:lang w:val="ro-RO"/>
        </w:rPr>
        <w:t xml:space="preserve"> necesare pentru a putea deveni pe deplin </w:t>
      </w:r>
      <w:proofErr w:type="spellStart"/>
      <w:r w:rsidR="0030749E" w:rsidRPr="00CD48F9">
        <w:rPr>
          <w:lang w:val="ro-RO"/>
        </w:rPr>
        <w:t>operaţională</w:t>
      </w:r>
      <w:proofErr w:type="spellEnd"/>
      <w:r w:rsidR="0030749E" w:rsidRPr="00CD48F9">
        <w:rPr>
          <w:lang w:val="ro-RO"/>
        </w:rPr>
        <w:t xml:space="preserve"> </w:t>
      </w:r>
      <w:proofErr w:type="spellStart"/>
      <w:r w:rsidR="0030749E" w:rsidRPr="00CD48F9">
        <w:rPr>
          <w:lang w:val="ro-RO"/>
        </w:rPr>
        <w:t>şi</w:t>
      </w:r>
      <w:proofErr w:type="spellEnd"/>
      <w:r w:rsidR="0030749E" w:rsidRPr="00CD48F9">
        <w:rPr>
          <w:lang w:val="ro-RO"/>
        </w:rPr>
        <w:t xml:space="preserve"> pentru a </w:t>
      </w:r>
      <w:proofErr w:type="spellStart"/>
      <w:r w:rsidR="0030749E" w:rsidRPr="00CD48F9">
        <w:rPr>
          <w:lang w:val="ro-RO"/>
        </w:rPr>
        <w:t>câştiga</w:t>
      </w:r>
      <w:proofErr w:type="spellEnd"/>
      <w:r w:rsidR="0030749E" w:rsidRPr="00CD48F9">
        <w:rPr>
          <w:lang w:val="ro-RO"/>
        </w:rPr>
        <w:t xml:space="preserve"> un rol determinant în identificarea </w:t>
      </w:r>
      <w:proofErr w:type="spellStart"/>
      <w:r w:rsidR="0030749E" w:rsidRPr="00CD48F9">
        <w:rPr>
          <w:lang w:val="ro-RO"/>
        </w:rPr>
        <w:t>şi</w:t>
      </w:r>
      <w:proofErr w:type="spellEnd"/>
      <w:r w:rsidR="0030749E" w:rsidRPr="00CD48F9">
        <w:rPr>
          <w:lang w:val="ro-RO"/>
        </w:rPr>
        <w:t xml:space="preserve"> recuperarea activelor</w:t>
      </w:r>
      <w:r w:rsidRPr="00CD48F9">
        <w:rPr>
          <w:lang w:val="ro-RO"/>
        </w:rPr>
        <w:t>,</w:t>
      </w:r>
      <w:r w:rsidR="0030749E" w:rsidRPr="00CD48F9">
        <w:rPr>
          <w:lang w:val="ro-RO"/>
        </w:rPr>
        <w:t xml:space="preserve"> </w:t>
      </w:r>
      <w:r w:rsidRPr="00CD48F9">
        <w:rPr>
          <w:lang w:val="ro-RO"/>
        </w:rPr>
        <w:t>p</w:t>
      </w:r>
      <w:r w:rsidR="0030749E" w:rsidRPr="00CD48F9">
        <w:rPr>
          <w:lang w:val="ro-RO"/>
        </w:rPr>
        <w:t>otrivit prevederilor Hotărârii Guvernului nr. 358/2016</w:t>
      </w:r>
      <w:r w:rsidR="00F514A0" w:rsidRPr="00CD48F9">
        <w:rPr>
          <w:rStyle w:val="FootnoteReference"/>
          <w:lang w:val="ro-RO"/>
        </w:rPr>
        <w:footnoteReference w:id="28"/>
      </w:r>
      <w:r w:rsidR="0030749E" w:rsidRPr="00CD48F9">
        <w:rPr>
          <w:lang w:val="ro-RO"/>
        </w:rPr>
        <w:t>, Agenția funcționează cu un număr maxim de 50 de posturi</w:t>
      </w:r>
      <w:r w:rsidR="004B7787" w:rsidRPr="00CD48F9">
        <w:rPr>
          <w:lang w:val="ro-RO"/>
        </w:rPr>
        <w:t xml:space="preserve"> din care 35</w:t>
      </w:r>
      <w:r w:rsidR="00F514A0" w:rsidRPr="00CD48F9">
        <w:rPr>
          <w:lang w:val="ro-RO"/>
        </w:rPr>
        <w:t xml:space="preserve"> sunt ocupate</w:t>
      </w:r>
      <w:r w:rsidRPr="00CD48F9">
        <w:rPr>
          <w:lang w:val="ro-RO"/>
        </w:rPr>
        <w:t>,</w:t>
      </w:r>
      <w:r w:rsidR="00836857" w:rsidRPr="00CD48F9">
        <w:rPr>
          <w:lang w:val="ro-RO"/>
        </w:rPr>
        <w:t xml:space="preserve"> </w:t>
      </w:r>
      <w:r w:rsidR="004B7787" w:rsidRPr="00CD48F9">
        <w:rPr>
          <w:lang w:val="ro-RO"/>
        </w:rPr>
        <w:t xml:space="preserve">în </w:t>
      </w:r>
      <w:r w:rsidR="00836857" w:rsidRPr="00CD48F9">
        <w:rPr>
          <w:lang w:val="ro-RO"/>
        </w:rPr>
        <w:t xml:space="preserve">anul </w:t>
      </w:r>
      <w:r w:rsidR="004B7787" w:rsidRPr="00CD48F9">
        <w:rPr>
          <w:lang w:val="ro-RO"/>
        </w:rPr>
        <w:t>2019</w:t>
      </w:r>
      <w:r w:rsidR="00836857" w:rsidRPr="00CD48F9">
        <w:rPr>
          <w:lang w:val="ro-RO"/>
        </w:rPr>
        <w:t xml:space="preserve"> fiind </w:t>
      </w:r>
      <w:proofErr w:type="spellStart"/>
      <w:r w:rsidR="00836857" w:rsidRPr="00CD48F9">
        <w:rPr>
          <w:lang w:val="ro-RO"/>
        </w:rPr>
        <w:t>finanţate</w:t>
      </w:r>
      <w:proofErr w:type="spellEnd"/>
      <w:r w:rsidR="00836857" w:rsidRPr="00CD48F9">
        <w:rPr>
          <w:lang w:val="ro-RO"/>
        </w:rPr>
        <w:t xml:space="preserve"> 42 de posturi</w:t>
      </w:r>
      <w:r w:rsidR="0030749E" w:rsidRPr="00CD48F9">
        <w:rPr>
          <w:lang w:val="ro-RO"/>
        </w:rPr>
        <w:t xml:space="preserve">. </w:t>
      </w:r>
      <w:r w:rsidR="004B7787" w:rsidRPr="00CD48F9">
        <w:rPr>
          <w:lang w:val="ro-RO"/>
        </w:rPr>
        <w:t>Urmare eliminării interdicției prevăzute de</w:t>
      </w:r>
      <w:r w:rsidR="0030749E" w:rsidRPr="00CD48F9">
        <w:rPr>
          <w:lang w:val="ro-RO"/>
        </w:rPr>
        <w:t xml:space="preserve"> art. 14 alin. (1) din OUG nr. 90/2017</w:t>
      </w:r>
      <w:r w:rsidR="00F514A0" w:rsidRPr="00CD48F9">
        <w:rPr>
          <w:rStyle w:val="FootnoteReference"/>
          <w:lang w:val="ro-RO"/>
        </w:rPr>
        <w:footnoteReference w:id="29"/>
      </w:r>
      <w:r w:rsidR="0030749E" w:rsidRPr="00CD48F9">
        <w:rPr>
          <w:lang w:val="ro-RO"/>
        </w:rPr>
        <w:t xml:space="preserve">, </w:t>
      </w:r>
      <w:r w:rsidR="004B7787" w:rsidRPr="00CD48F9">
        <w:rPr>
          <w:lang w:val="ro-RO"/>
        </w:rPr>
        <w:t xml:space="preserve">pe parcursul anului 2019 au putut fi organizate un număr de 18 proceduri competitive de selecție. </w:t>
      </w:r>
      <w:r w:rsidR="00B03962" w:rsidRPr="00CD48F9">
        <w:rPr>
          <w:lang w:val="ro-RO"/>
        </w:rPr>
        <w:t xml:space="preserve">La </w:t>
      </w:r>
      <w:r w:rsidR="004B7787" w:rsidRPr="00CD48F9">
        <w:rPr>
          <w:lang w:val="ro-RO"/>
        </w:rPr>
        <w:t>data de 31.12.2019, din cele 42 de posturi finanțate</w:t>
      </w:r>
      <w:r w:rsidR="00836857" w:rsidRPr="00CD48F9">
        <w:rPr>
          <w:lang w:val="ro-RO"/>
        </w:rPr>
        <w:t xml:space="preserve"> conform filei de buget aprobate</w:t>
      </w:r>
      <w:r w:rsidR="004B7787" w:rsidRPr="00CD48F9">
        <w:rPr>
          <w:lang w:val="ro-RO"/>
        </w:rPr>
        <w:t>, au fost ocupate 35 de posturi corespunzătoare următoarelor categorii de personal: 12 posturi de funcționari publici, 7 posturi de personal de specialitate juridică asimilat judecătorilor și procurorilor, 13 posturi de inspectori de urmărire și administrare bunuri și 3 posturi de personal contractual.</w:t>
      </w:r>
    </w:p>
    <w:p w:rsidR="004B7787" w:rsidRPr="00CD48F9" w:rsidRDefault="004B7787" w:rsidP="00972E3A">
      <w:pPr>
        <w:spacing w:after="120" w:line="276" w:lineRule="auto"/>
        <w:rPr>
          <w:lang w:val="ro-RO"/>
        </w:rPr>
      </w:pPr>
      <w:r w:rsidRPr="00CD48F9">
        <w:rPr>
          <w:lang w:val="ro-RO"/>
        </w:rPr>
        <w:t xml:space="preserve">Pentru prima dată de la operaționalizare, ANABI a putut funcționa cu ocuparea tuturor funcțiilor de conducere (șefi birou și șefi de serviciu).  </w:t>
      </w:r>
    </w:p>
    <w:p w:rsidR="004B7787" w:rsidRPr="00CD48F9" w:rsidRDefault="004B7787" w:rsidP="00972E3A">
      <w:pPr>
        <w:spacing w:after="120" w:line="276" w:lineRule="auto"/>
        <w:rPr>
          <w:lang w:val="ro-RO"/>
        </w:rPr>
      </w:pPr>
      <w:r w:rsidRPr="00CD48F9">
        <w:rPr>
          <w:lang w:val="ro-RO"/>
        </w:rPr>
        <w:t>La momentul raportării, se afla în derulare concursul pentru ocuparea a 2 posturi vacante de personal de specialitate juridică asimilat judecătorilor și procurorilor,</w:t>
      </w:r>
      <w:r w:rsidR="00836857" w:rsidRPr="00CD48F9">
        <w:rPr>
          <w:lang w:val="ro-RO"/>
        </w:rPr>
        <w:t xml:space="preserve"> concurs organizat de către I</w:t>
      </w:r>
      <w:r w:rsidR="00E958AC" w:rsidRPr="00CD48F9">
        <w:rPr>
          <w:lang w:val="ro-RO"/>
        </w:rPr>
        <w:t>nstitutul Național al Magistraturii.</w:t>
      </w:r>
      <w:r w:rsidRPr="00CD48F9">
        <w:rPr>
          <w:lang w:val="ro-RO"/>
        </w:rPr>
        <w:t xml:space="preserve"> </w:t>
      </w:r>
    </w:p>
    <w:p w:rsidR="00016893" w:rsidRPr="00CD48F9" w:rsidRDefault="000F54FC" w:rsidP="00972E3A">
      <w:pPr>
        <w:spacing w:after="120" w:line="276" w:lineRule="auto"/>
        <w:rPr>
          <w:lang w:val="ro-RO"/>
        </w:rPr>
      </w:pPr>
      <w:r w:rsidRPr="00CD48F9">
        <w:rPr>
          <w:lang w:val="ro-RO"/>
        </w:rPr>
        <w:t xml:space="preserve">Referitor la </w:t>
      </w:r>
      <w:r w:rsidRPr="00CD48F9">
        <w:rPr>
          <w:b/>
          <w:lang w:val="ro-RO"/>
        </w:rPr>
        <w:t>măsura 5.2.4.</w:t>
      </w:r>
      <w:r w:rsidRPr="00CD48F9">
        <w:rPr>
          <w:lang w:val="ro-RO"/>
        </w:rPr>
        <w:t xml:space="preserve"> privind r</w:t>
      </w:r>
      <w:r w:rsidR="00B85F62" w:rsidRPr="00CD48F9">
        <w:rPr>
          <w:lang w:val="ro-RO"/>
        </w:rPr>
        <w:t xml:space="preserve">eturnarea produselor </w:t>
      </w:r>
      <w:proofErr w:type="spellStart"/>
      <w:r w:rsidR="00B85F62" w:rsidRPr="00CD48F9">
        <w:rPr>
          <w:lang w:val="ro-RO"/>
        </w:rPr>
        <w:t>infracţionalităţii</w:t>
      </w:r>
      <w:proofErr w:type="spellEnd"/>
      <w:r w:rsidR="00B85F62" w:rsidRPr="00CD48F9">
        <w:rPr>
          <w:lang w:val="ro-RO"/>
        </w:rPr>
        <w:t xml:space="preserve"> către societate, prin reutilizarea socială </w:t>
      </w:r>
      <w:proofErr w:type="spellStart"/>
      <w:r w:rsidR="00B85F62" w:rsidRPr="00CD48F9">
        <w:rPr>
          <w:lang w:val="ro-RO"/>
        </w:rPr>
        <w:t>şi</w:t>
      </w:r>
      <w:proofErr w:type="spellEnd"/>
      <w:r w:rsidR="00B85F62" w:rsidRPr="00CD48F9">
        <w:rPr>
          <w:lang w:val="ro-RO"/>
        </w:rPr>
        <w:t xml:space="preserve"> publică</w:t>
      </w:r>
      <w:r w:rsidRPr="00CD48F9">
        <w:rPr>
          <w:lang w:val="ro-RO"/>
        </w:rPr>
        <w:t>, precizăm că</w:t>
      </w:r>
      <w:r w:rsidR="00B85F62" w:rsidRPr="00CD48F9">
        <w:rPr>
          <w:lang w:val="ro-RO"/>
        </w:rPr>
        <w:t xml:space="preserve"> </w:t>
      </w:r>
      <w:r w:rsidRPr="00CD48F9">
        <w:rPr>
          <w:lang w:val="ro-RO"/>
        </w:rPr>
        <w:t>î</w:t>
      </w:r>
      <w:r w:rsidR="00E958AC" w:rsidRPr="00CD48F9">
        <w:rPr>
          <w:lang w:val="ro-RO"/>
        </w:rPr>
        <w:t>n cursul anului 2019</w:t>
      </w:r>
      <w:r w:rsidR="00016893" w:rsidRPr="00CD48F9">
        <w:rPr>
          <w:lang w:val="ro-RO"/>
        </w:rPr>
        <w:t xml:space="preserve"> nu au existat bunuri </w:t>
      </w:r>
      <w:r w:rsidR="00016893" w:rsidRPr="00CD48F9">
        <w:rPr>
          <w:lang w:val="ro-RO"/>
        </w:rPr>
        <w:lastRenderedPageBreak/>
        <w:t xml:space="preserve">imobile transmise cu titlu gratuit în domeniul privat al </w:t>
      </w:r>
      <w:proofErr w:type="spellStart"/>
      <w:r w:rsidR="00016893" w:rsidRPr="00CD48F9">
        <w:rPr>
          <w:lang w:val="ro-RO"/>
        </w:rPr>
        <w:t>unităţilor</w:t>
      </w:r>
      <w:proofErr w:type="spellEnd"/>
      <w:r w:rsidR="00016893" w:rsidRPr="00CD48F9">
        <w:rPr>
          <w:lang w:val="ro-RO"/>
        </w:rPr>
        <w:t xml:space="preserve"> administrativ-teritoriale sau bunuri imobile date în </w:t>
      </w:r>
      <w:proofErr w:type="spellStart"/>
      <w:r w:rsidR="00016893" w:rsidRPr="00CD48F9">
        <w:rPr>
          <w:lang w:val="ro-RO"/>
        </w:rPr>
        <w:t>folosinţă</w:t>
      </w:r>
      <w:proofErr w:type="spellEnd"/>
      <w:r w:rsidR="00016893" w:rsidRPr="00CD48F9">
        <w:rPr>
          <w:lang w:val="ro-RO"/>
        </w:rPr>
        <w:t xml:space="preserve"> gratuită </w:t>
      </w:r>
      <w:proofErr w:type="spellStart"/>
      <w:r w:rsidR="00016893" w:rsidRPr="00CD48F9">
        <w:rPr>
          <w:lang w:val="ro-RO"/>
        </w:rPr>
        <w:t>asociaţiilor</w:t>
      </w:r>
      <w:proofErr w:type="spellEnd"/>
      <w:r w:rsidR="00016893" w:rsidRPr="00CD48F9">
        <w:rPr>
          <w:lang w:val="ro-RO"/>
        </w:rPr>
        <w:t xml:space="preserve"> </w:t>
      </w:r>
      <w:proofErr w:type="spellStart"/>
      <w:r w:rsidR="00016893" w:rsidRPr="00CD48F9">
        <w:rPr>
          <w:lang w:val="ro-RO"/>
        </w:rPr>
        <w:t>şi</w:t>
      </w:r>
      <w:proofErr w:type="spellEnd"/>
      <w:r w:rsidR="00016893" w:rsidRPr="00CD48F9">
        <w:rPr>
          <w:lang w:val="ro-RO"/>
        </w:rPr>
        <w:t xml:space="preserve"> </w:t>
      </w:r>
      <w:proofErr w:type="spellStart"/>
      <w:r w:rsidR="00016893" w:rsidRPr="00CD48F9">
        <w:rPr>
          <w:lang w:val="ro-RO"/>
        </w:rPr>
        <w:t>fundaţiilor</w:t>
      </w:r>
      <w:proofErr w:type="spellEnd"/>
      <w:r w:rsidR="00016893" w:rsidRPr="00CD48F9">
        <w:rPr>
          <w:lang w:val="ro-RO"/>
        </w:rPr>
        <w:t xml:space="preserve"> </w:t>
      </w:r>
      <w:proofErr w:type="spellStart"/>
      <w:r w:rsidR="00016893" w:rsidRPr="00CD48F9">
        <w:rPr>
          <w:lang w:val="ro-RO"/>
        </w:rPr>
        <w:t>şi</w:t>
      </w:r>
      <w:proofErr w:type="spellEnd"/>
      <w:r w:rsidR="00016893" w:rsidRPr="00CD48F9">
        <w:rPr>
          <w:lang w:val="ro-RO"/>
        </w:rPr>
        <w:t xml:space="preserve"> academiilor de ramură. </w:t>
      </w:r>
    </w:p>
    <w:p w:rsidR="00D83BA5" w:rsidRPr="00CD48F9" w:rsidRDefault="00270438" w:rsidP="00972E3A">
      <w:pPr>
        <w:spacing w:after="120" w:line="276" w:lineRule="auto"/>
        <w:rPr>
          <w:lang w:val="ro-RO"/>
        </w:rPr>
      </w:pPr>
      <w:r w:rsidRPr="00CD48F9">
        <w:rPr>
          <w:lang w:val="ro-RO"/>
        </w:rPr>
        <w:t>Având</w:t>
      </w:r>
      <w:r w:rsidR="00BB6970" w:rsidRPr="00CD48F9">
        <w:rPr>
          <w:lang w:val="ro-RO"/>
        </w:rPr>
        <w:t xml:space="preserve"> </w:t>
      </w:r>
      <w:r w:rsidRPr="00CD48F9">
        <w:rPr>
          <w:lang w:val="ro-RO"/>
        </w:rPr>
        <w:t>i</w:t>
      </w:r>
      <w:r w:rsidR="00016893" w:rsidRPr="00CD48F9">
        <w:rPr>
          <w:lang w:val="ro-RO"/>
        </w:rPr>
        <w:t xml:space="preserve">n vedere indicatorul de </w:t>
      </w:r>
      <w:proofErr w:type="spellStart"/>
      <w:r w:rsidR="00016893" w:rsidRPr="00CD48F9">
        <w:rPr>
          <w:lang w:val="ro-RO"/>
        </w:rPr>
        <w:t>performan</w:t>
      </w:r>
      <w:r w:rsidRPr="00CD48F9">
        <w:rPr>
          <w:lang w:val="ro-RO"/>
        </w:rPr>
        <w:t>ţă</w:t>
      </w:r>
      <w:proofErr w:type="spellEnd"/>
      <w:r w:rsidR="00016893" w:rsidRPr="00CD48F9">
        <w:rPr>
          <w:lang w:val="ro-RO"/>
        </w:rPr>
        <w:t xml:space="preserve"> </w:t>
      </w:r>
      <w:r w:rsidR="00D83BA5" w:rsidRPr="00CD48F9">
        <w:rPr>
          <w:lang w:val="ro-RO"/>
        </w:rPr>
        <w:t xml:space="preserve">categorii de </w:t>
      </w:r>
      <w:r w:rsidR="00016893" w:rsidRPr="00CD48F9">
        <w:rPr>
          <w:lang w:val="ro-RO"/>
        </w:rPr>
        <w:t xml:space="preserve">bunuri imobile intrate, prin confiscare, în cadrul procesului penal, în proprietatea privată a statului și transmise cu titlu gratuit în domeniul public al statului </w:t>
      </w:r>
      <w:proofErr w:type="spellStart"/>
      <w:r w:rsidR="00016893" w:rsidRPr="00CD48F9">
        <w:rPr>
          <w:lang w:val="ro-RO"/>
        </w:rPr>
        <w:t>şi</w:t>
      </w:r>
      <w:proofErr w:type="spellEnd"/>
      <w:r w:rsidR="00016893" w:rsidRPr="00CD48F9">
        <w:rPr>
          <w:lang w:val="ro-RO"/>
        </w:rPr>
        <w:t xml:space="preserve"> în administrarea </w:t>
      </w:r>
      <w:proofErr w:type="spellStart"/>
      <w:r w:rsidR="00016893" w:rsidRPr="00CD48F9">
        <w:rPr>
          <w:lang w:val="ro-RO"/>
        </w:rPr>
        <w:t>autorităţilor</w:t>
      </w:r>
      <w:proofErr w:type="spellEnd"/>
      <w:r w:rsidR="00016893" w:rsidRPr="00CD48F9">
        <w:rPr>
          <w:lang w:val="ro-RO"/>
        </w:rPr>
        <w:t xml:space="preserve"> </w:t>
      </w:r>
      <w:proofErr w:type="spellStart"/>
      <w:r w:rsidR="00016893" w:rsidRPr="00CD48F9">
        <w:rPr>
          <w:lang w:val="ro-RO"/>
        </w:rPr>
        <w:t>administraţiei</w:t>
      </w:r>
      <w:proofErr w:type="spellEnd"/>
      <w:r w:rsidR="00016893" w:rsidRPr="00CD48F9">
        <w:rPr>
          <w:lang w:val="ro-RO"/>
        </w:rPr>
        <w:t xml:space="preserve"> publice centrale, altor </w:t>
      </w:r>
      <w:proofErr w:type="spellStart"/>
      <w:r w:rsidR="00016893" w:rsidRPr="00CD48F9">
        <w:rPr>
          <w:lang w:val="ro-RO"/>
        </w:rPr>
        <w:t>instituţii</w:t>
      </w:r>
      <w:proofErr w:type="spellEnd"/>
      <w:r w:rsidR="00016893" w:rsidRPr="00CD48F9">
        <w:rPr>
          <w:lang w:val="ro-RO"/>
        </w:rPr>
        <w:t xml:space="preserve"> publice de interes </w:t>
      </w:r>
      <w:proofErr w:type="spellStart"/>
      <w:r w:rsidR="00016893" w:rsidRPr="00CD48F9">
        <w:rPr>
          <w:lang w:val="ro-RO"/>
        </w:rPr>
        <w:t>naţional</w:t>
      </w:r>
      <w:proofErr w:type="spellEnd"/>
      <w:r w:rsidR="00016893" w:rsidRPr="00CD48F9">
        <w:rPr>
          <w:lang w:val="ro-RO"/>
        </w:rPr>
        <w:t xml:space="preserve">, după caz, sau regiilor autonome de interes </w:t>
      </w:r>
      <w:proofErr w:type="spellStart"/>
      <w:r w:rsidR="00016893" w:rsidRPr="00CD48F9">
        <w:rPr>
          <w:lang w:val="ro-RO"/>
        </w:rPr>
        <w:t>naţional</w:t>
      </w:r>
      <w:proofErr w:type="spellEnd"/>
      <w:r w:rsidR="00D83BA5" w:rsidRPr="00CD48F9">
        <w:rPr>
          <w:lang w:val="ro-RO"/>
        </w:rPr>
        <w:t xml:space="preserve">, menționăm o </w:t>
      </w:r>
      <w:r w:rsidRPr="00CD48F9">
        <w:rPr>
          <w:lang w:val="ro-RO"/>
        </w:rPr>
        <w:t>construcție</w:t>
      </w:r>
      <w:r w:rsidR="00016893" w:rsidRPr="00CD48F9">
        <w:rPr>
          <w:lang w:val="ro-RO"/>
        </w:rPr>
        <w:t>.</w:t>
      </w:r>
    </w:p>
    <w:p w:rsidR="00016893" w:rsidRPr="00CD48F9" w:rsidRDefault="00D83BA5" w:rsidP="00972E3A">
      <w:pPr>
        <w:spacing w:after="120" w:line="276" w:lineRule="auto"/>
        <w:rPr>
          <w:lang w:val="ro-RO"/>
        </w:rPr>
      </w:pPr>
      <w:r w:rsidRPr="00CD48F9">
        <w:rPr>
          <w:lang w:val="ro-RO"/>
        </w:rPr>
        <w:t>În ceea ce privește ac</w:t>
      </w:r>
      <w:r w:rsidR="00E958AC" w:rsidRPr="00CD48F9">
        <w:rPr>
          <w:lang w:val="ro-RO"/>
        </w:rPr>
        <w:t>eastă măsură, reiterăm cele</w:t>
      </w:r>
      <w:r w:rsidRPr="00CD48F9">
        <w:rPr>
          <w:lang w:val="ro-RO"/>
        </w:rPr>
        <w:t xml:space="preserve"> menționate la măsura 1.2.1 privind publicarea</w:t>
      </w:r>
      <w:r w:rsidR="00E958AC" w:rsidRPr="00CD48F9">
        <w:rPr>
          <w:lang w:val="ro-RO"/>
        </w:rPr>
        <w:t xml:space="preserve"> anuală a </w:t>
      </w:r>
      <w:proofErr w:type="spellStart"/>
      <w:r w:rsidR="00E958AC" w:rsidRPr="00CD48F9">
        <w:rPr>
          <w:lang w:val="ro-RO"/>
        </w:rPr>
        <w:t>informaţiilor</w:t>
      </w:r>
      <w:proofErr w:type="spellEnd"/>
      <w:r w:rsidR="00E958AC" w:rsidRPr="00CD48F9">
        <w:rPr>
          <w:lang w:val="ro-RO"/>
        </w:rPr>
        <w:t xml:space="preserve"> privind</w:t>
      </w:r>
      <w:r w:rsidRPr="00CD48F9">
        <w:rPr>
          <w:lang w:val="ro-RO"/>
        </w:rPr>
        <w:t xml:space="preserve"> reutilizarea publică și socială a bunurilor confiscate în cadrul procedurilor judiciare penale.</w:t>
      </w:r>
    </w:p>
    <w:p w:rsidR="00FD215B" w:rsidRDefault="000F54FC" w:rsidP="00972E3A">
      <w:pPr>
        <w:spacing w:after="120" w:line="276" w:lineRule="auto"/>
        <w:rPr>
          <w:lang w:val="ro-RO"/>
        </w:rPr>
      </w:pPr>
      <w:r w:rsidRPr="00CD48F9">
        <w:rPr>
          <w:lang w:val="ro-RO"/>
        </w:rPr>
        <w:t xml:space="preserve">Pentru implementarea </w:t>
      </w:r>
      <w:r w:rsidRPr="00CD48F9">
        <w:rPr>
          <w:b/>
          <w:lang w:val="ro-RO"/>
        </w:rPr>
        <w:t>măsurii 5.2.5.</w:t>
      </w:r>
      <w:r w:rsidRPr="00CD48F9">
        <w:rPr>
          <w:lang w:val="ro-RO"/>
        </w:rPr>
        <w:t xml:space="preserve"> privind c</w:t>
      </w:r>
      <w:r w:rsidR="00B85F62" w:rsidRPr="00CD48F9">
        <w:rPr>
          <w:lang w:val="ro-RO"/>
        </w:rPr>
        <w:t xml:space="preserve">ontinuarea bunei utilizări a resurselor disponibile ale </w:t>
      </w:r>
      <w:proofErr w:type="spellStart"/>
      <w:r w:rsidR="00B85F62" w:rsidRPr="00CD48F9">
        <w:rPr>
          <w:lang w:val="ro-RO"/>
        </w:rPr>
        <w:t>reţelelor</w:t>
      </w:r>
      <w:proofErr w:type="spellEnd"/>
      <w:r w:rsidR="00B85F62" w:rsidRPr="00CD48F9">
        <w:rPr>
          <w:lang w:val="ro-RO"/>
        </w:rPr>
        <w:t xml:space="preserve"> </w:t>
      </w:r>
      <w:proofErr w:type="spellStart"/>
      <w:r w:rsidR="00B85F62" w:rsidRPr="00CD48F9">
        <w:rPr>
          <w:lang w:val="ro-RO"/>
        </w:rPr>
        <w:t>internaţionale</w:t>
      </w:r>
      <w:proofErr w:type="spellEnd"/>
      <w:r w:rsidR="00B85F62" w:rsidRPr="00CD48F9">
        <w:rPr>
          <w:lang w:val="ro-RO"/>
        </w:rPr>
        <w:t xml:space="preserve"> de practicieni, </w:t>
      </w:r>
      <w:r w:rsidRPr="00CD48F9">
        <w:rPr>
          <w:rFonts w:cs="Arial"/>
          <w:lang w:val="ro-RO"/>
        </w:rPr>
        <w:t>în</w:t>
      </w:r>
      <w:r w:rsidR="00E958AC" w:rsidRPr="00CD48F9">
        <w:rPr>
          <w:rFonts w:cs="Arial"/>
          <w:lang w:val="ro-RO"/>
        </w:rPr>
        <w:t xml:space="preserve"> anul 2019</w:t>
      </w:r>
      <w:r w:rsidRPr="00CD48F9">
        <w:rPr>
          <w:rFonts w:cs="Arial"/>
          <w:lang w:val="ro-RO"/>
        </w:rPr>
        <w:t>,</w:t>
      </w:r>
      <w:r w:rsidR="00D83BA5" w:rsidRPr="00CD48F9">
        <w:rPr>
          <w:rFonts w:cs="Arial"/>
          <w:lang w:val="ro-RO"/>
        </w:rPr>
        <w:t xml:space="preserve"> ANABI a primit </w:t>
      </w:r>
      <w:r w:rsidR="00E958AC" w:rsidRPr="00CD48F9">
        <w:rPr>
          <w:rFonts w:cs="Arial"/>
          <w:lang w:val="ro-RO"/>
        </w:rPr>
        <w:t>192</w:t>
      </w:r>
      <w:r w:rsidR="00D83BA5" w:rsidRPr="00CD48F9">
        <w:rPr>
          <w:rFonts w:cs="Arial"/>
          <w:lang w:val="ro-RO"/>
        </w:rPr>
        <w:t xml:space="preserve"> de cereri de la autoritățile străine. Cele mai multe solicitări de informații au fost transmise de către autoritățile din UK, Franța,</w:t>
      </w:r>
      <w:r w:rsidR="00E958AC" w:rsidRPr="00CD48F9">
        <w:rPr>
          <w:rFonts w:cs="Arial"/>
          <w:lang w:val="ro-RO"/>
        </w:rPr>
        <w:t xml:space="preserve"> Germania,</w:t>
      </w:r>
      <w:r w:rsidR="00D83BA5" w:rsidRPr="00CD48F9">
        <w:rPr>
          <w:rFonts w:cs="Arial"/>
          <w:lang w:val="ro-RO"/>
        </w:rPr>
        <w:t xml:space="preserve"> Italia</w:t>
      </w:r>
      <w:r w:rsidR="00E958AC" w:rsidRPr="00CD48F9">
        <w:rPr>
          <w:rFonts w:cs="Arial"/>
          <w:lang w:val="ro-RO"/>
        </w:rPr>
        <w:t>, Olanda</w:t>
      </w:r>
      <w:r w:rsidR="00D83BA5" w:rsidRPr="00CD48F9">
        <w:rPr>
          <w:rFonts w:cs="Arial"/>
          <w:lang w:val="ro-RO"/>
        </w:rPr>
        <w:t xml:space="preserve"> și Spania. </w:t>
      </w:r>
      <w:r w:rsidR="001F52C6" w:rsidRPr="00CD48F9">
        <w:rPr>
          <w:lang w:val="ro-RO"/>
        </w:rPr>
        <w:t>De asemenea, î</w:t>
      </w:r>
      <w:r w:rsidR="002E6F0C" w:rsidRPr="00CD48F9">
        <w:rPr>
          <w:lang w:val="ro-RO"/>
        </w:rPr>
        <w:t>n aceeași perioada,</w:t>
      </w:r>
      <w:r w:rsidR="00E958AC" w:rsidRPr="00CD48F9">
        <w:rPr>
          <w:rFonts w:cs="Arial"/>
          <w:lang w:val="ro-RO"/>
        </w:rPr>
        <w:t xml:space="preserve"> </w:t>
      </w:r>
      <w:r w:rsidR="00836857" w:rsidRPr="00CD48F9">
        <w:rPr>
          <w:rFonts w:cs="Arial"/>
          <w:lang w:val="ro-RO"/>
        </w:rPr>
        <w:t>instituția</w:t>
      </w:r>
      <w:r w:rsidR="00E958AC" w:rsidRPr="00CD48F9">
        <w:rPr>
          <w:rFonts w:cs="Arial"/>
          <w:lang w:val="ro-RO"/>
        </w:rPr>
        <w:t xml:space="preserve"> a transmis 73</w:t>
      </w:r>
      <w:r w:rsidR="00D83BA5" w:rsidRPr="00CD48F9">
        <w:rPr>
          <w:rFonts w:cs="Arial"/>
          <w:lang w:val="ro-RO"/>
        </w:rPr>
        <w:t xml:space="preserve"> de cereri de info</w:t>
      </w:r>
      <w:r w:rsidR="002E6F0C" w:rsidRPr="00CD48F9">
        <w:rPr>
          <w:rFonts w:cs="Arial"/>
          <w:lang w:val="ro-RO"/>
        </w:rPr>
        <w:t>rmații către autorități străine,</w:t>
      </w:r>
      <w:r w:rsidR="00D83BA5" w:rsidRPr="00CD48F9">
        <w:rPr>
          <w:rFonts w:cs="Arial"/>
          <w:lang w:val="ro-RO"/>
        </w:rPr>
        <w:t xml:space="preserve"> cele mai multe </w:t>
      </w:r>
      <w:r w:rsidR="002E6F0C" w:rsidRPr="00CD48F9">
        <w:rPr>
          <w:rFonts w:cs="Arial"/>
          <w:lang w:val="ro-RO"/>
        </w:rPr>
        <w:t>fiind</w:t>
      </w:r>
      <w:r w:rsidR="00D83BA5" w:rsidRPr="00CD48F9">
        <w:rPr>
          <w:rFonts w:cs="Arial"/>
          <w:lang w:val="ro-RO"/>
        </w:rPr>
        <w:t xml:space="preserve"> </w:t>
      </w:r>
      <w:r w:rsidR="002E6F0C" w:rsidRPr="00CD48F9">
        <w:rPr>
          <w:rFonts w:cs="Arial"/>
          <w:lang w:val="ro-RO"/>
        </w:rPr>
        <w:t>înaintate</w:t>
      </w:r>
      <w:r w:rsidR="00D83BA5" w:rsidRPr="00CD48F9">
        <w:rPr>
          <w:rFonts w:cs="Arial"/>
          <w:lang w:val="ro-RO"/>
        </w:rPr>
        <w:t xml:space="preserve"> cătr</w:t>
      </w:r>
      <w:r w:rsidR="002E6F0C" w:rsidRPr="00CD48F9">
        <w:rPr>
          <w:rFonts w:cs="Arial"/>
          <w:lang w:val="ro-RO"/>
        </w:rPr>
        <w:t>e autor</w:t>
      </w:r>
      <w:r w:rsidR="001F52C6" w:rsidRPr="00CD48F9">
        <w:rPr>
          <w:rFonts w:cs="Arial"/>
          <w:lang w:val="ro-RO"/>
        </w:rPr>
        <w:t>itățile din Germania, UK</w:t>
      </w:r>
      <w:r w:rsidR="00E958AC" w:rsidRPr="00CD48F9">
        <w:rPr>
          <w:rFonts w:cs="Arial"/>
          <w:lang w:val="ro-RO"/>
        </w:rPr>
        <w:t>, Olanda, Ungaria</w:t>
      </w:r>
      <w:r w:rsidR="001F52C6" w:rsidRPr="00CD48F9">
        <w:rPr>
          <w:rFonts w:cs="Arial"/>
          <w:lang w:val="ro-RO"/>
        </w:rPr>
        <w:t xml:space="preserve"> ș</w:t>
      </w:r>
      <w:r w:rsidR="002E6F0C" w:rsidRPr="00CD48F9">
        <w:rPr>
          <w:rFonts w:cs="Arial"/>
          <w:lang w:val="ro-RO"/>
        </w:rPr>
        <w:t>i</w:t>
      </w:r>
      <w:r w:rsidR="00D83BA5" w:rsidRPr="00CD48F9">
        <w:rPr>
          <w:rFonts w:cs="Arial"/>
          <w:lang w:val="ro-RO"/>
        </w:rPr>
        <w:t xml:space="preserve"> Italia</w:t>
      </w:r>
      <w:r w:rsidR="00E958AC" w:rsidRPr="00CD48F9">
        <w:rPr>
          <w:rFonts w:cs="Arial"/>
          <w:lang w:val="ro-RO"/>
        </w:rPr>
        <w:t xml:space="preserve"> (din totalul cererilor transmise, 50 au fost formulate de agențiile naționale – instanțe de judecată, organe de urmărire penală)</w:t>
      </w:r>
      <w:r w:rsidR="00D83BA5" w:rsidRPr="00CD48F9">
        <w:rPr>
          <w:rFonts w:cs="Arial"/>
          <w:lang w:val="ro-RO"/>
        </w:rPr>
        <w:t>.</w:t>
      </w:r>
      <w:r w:rsidR="002E6F0C" w:rsidRPr="00CD48F9">
        <w:rPr>
          <w:lang w:val="ro-RO"/>
        </w:rPr>
        <w:t xml:space="preserve"> </w:t>
      </w:r>
    </w:p>
    <w:p w:rsidR="00D83BA5" w:rsidRPr="00CD48F9" w:rsidRDefault="001F52C6" w:rsidP="00972E3A">
      <w:pPr>
        <w:spacing w:after="120" w:line="276" w:lineRule="auto"/>
        <w:rPr>
          <w:lang w:val="ro-RO"/>
        </w:rPr>
      </w:pPr>
      <w:r w:rsidRPr="00CD48F9">
        <w:rPr>
          <w:lang w:val="ro-RO"/>
        </w:rPr>
        <w:t>Î</w:t>
      </w:r>
      <w:r w:rsidR="00270438" w:rsidRPr="00CD48F9">
        <w:rPr>
          <w:lang w:val="ro-RO"/>
        </w:rPr>
        <w:t xml:space="preserve">n </w:t>
      </w:r>
      <w:r w:rsidR="00972E3A" w:rsidRPr="00CD48F9">
        <w:rPr>
          <w:lang w:val="ro-RO"/>
        </w:rPr>
        <w:t>anul</w:t>
      </w:r>
      <w:r w:rsidR="00E958AC" w:rsidRPr="00CD48F9">
        <w:rPr>
          <w:lang w:val="ro-RO"/>
        </w:rPr>
        <w:t xml:space="preserve"> 2019</w:t>
      </w:r>
      <w:r w:rsidRPr="00CD48F9">
        <w:rPr>
          <w:lang w:val="ro-RO"/>
        </w:rPr>
        <w:t xml:space="preserve"> nu a fost realizată</w:t>
      </w:r>
      <w:r w:rsidR="00270438" w:rsidRPr="00CD48F9">
        <w:rPr>
          <w:lang w:val="ro-RO"/>
        </w:rPr>
        <w:t xml:space="preserve"> c</w:t>
      </w:r>
      <w:r w:rsidR="00D83BA5" w:rsidRPr="00CD48F9">
        <w:rPr>
          <w:lang w:val="ro-RO"/>
        </w:rPr>
        <w:t xml:space="preserve">onectarea la </w:t>
      </w:r>
      <w:proofErr w:type="spellStart"/>
      <w:r w:rsidR="00D83BA5" w:rsidRPr="00CD48F9">
        <w:rPr>
          <w:lang w:val="ro-RO"/>
        </w:rPr>
        <w:t>reţeaua</w:t>
      </w:r>
      <w:proofErr w:type="spellEnd"/>
      <w:r w:rsidR="00D83BA5" w:rsidRPr="00CD48F9">
        <w:rPr>
          <w:lang w:val="ro-RO"/>
        </w:rPr>
        <w:t xml:space="preserve"> SIENA a EUROPOL</w:t>
      </w:r>
      <w:r w:rsidR="00270438" w:rsidRPr="00CD48F9">
        <w:rPr>
          <w:lang w:val="ro-RO"/>
        </w:rPr>
        <w:t>.</w:t>
      </w:r>
    </w:p>
    <w:p w:rsidR="0074416E" w:rsidRPr="00CD48F9" w:rsidRDefault="005600C5" w:rsidP="00972E3A">
      <w:pPr>
        <w:spacing w:after="120" w:line="276" w:lineRule="auto"/>
        <w:rPr>
          <w:lang w:val="ro-RO"/>
        </w:rPr>
      </w:pPr>
      <w:r w:rsidRPr="00CD48F9">
        <w:rPr>
          <w:lang w:val="ro-RO"/>
        </w:rPr>
        <w:t xml:space="preserve">În marja proiectului </w:t>
      </w:r>
      <w:r w:rsidRPr="00CD48F9">
        <w:rPr>
          <w:i/>
          <w:lang w:val="ro-RO"/>
        </w:rPr>
        <w:t>”Consolidarea capacităților CARIN ca centru de expertiză prin dezvoltarea în continuare a rețelei și diseminarea celor mai bune practici în domeniul</w:t>
      </w:r>
      <w:r w:rsidRPr="00CD48F9">
        <w:rPr>
          <w:lang w:val="ro-RO"/>
        </w:rPr>
        <w:t xml:space="preserve"> </w:t>
      </w:r>
      <w:r w:rsidRPr="00CD48F9">
        <w:rPr>
          <w:i/>
          <w:lang w:val="ro-RO"/>
        </w:rPr>
        <w:t>recuperării creanțelor”</w:t>
      </w:r>
      <w:r w:rsidRPr="00CD48F9">
        <w:rPr>
          <w:lang w:val="ro-RO"/>
        </w:rPr>
        <w:t xml:space="preserve">, au fost organizate trei întâlniri ale Grupului de coordonare CARIN (27-28.06.2019 – Haga, Olanda, 4-5 noiembrie 2019, 4-5 decembrie 2019, București), Întâlnirea Generală Anuală (5-7 noiembrie 2019, București), precum și o </w:t>
      </w:r>
      <w:proofErr w:type="spellStart"/>
      <w:r w:rsidRPr="00CD48F9">
        <w:rPr>
          <w:lang w:val="ro-RO"/>
        </w:rPr>
        <w:t>întâlire</w:t>
      </w:r>
      <w:proofErr w:type="spellEnd"/>
      <w:r w:rsidRPr="00CD48F9">
        <w:rPr>
          <w:lang w:val="ro-RO"/>
        </w:rPr>
        <w:t xml:space="preserve"> tematică cu reprezentanții celorlalte rețele regionale inter-agenții de recuperare a creanțelor (5 noiembrie, București).</w:t>
      </w:r>
    </w:p>
    <w:p w:rsidR="0074416E" w:rsidRPr="00CD48F9" w:rsidRDefault="005600C5" w:rsidP="00972E3A">
      <w:pPr>
        <w:spacing w:after="120" w:line="276" w:lineRule="auto"/>
        <w:rPr>
          <w:lang w:val="ro-RO"/>
        </w:rPr>
      </w:pPr>
      <w:r w:rsidRPr="00CD48F9">
        <w:rPr>
          <w:lang w:val="ro-RO"/>
        </w:rPr>
        <w:t xml:space="preserve">De asemenea, ANABI a găzduit trei vizite de studiu: </w:t>
      </w:r>
    </w:p>
    <w:p w:rsidR="009E7197" w:rsidRPr="00CD48F9" w:rsidRDefault="005600C5" w:rsidP="0080034B">
      <w:pPr>
        <w:pStyle w:val="ListParagraph"/>
        <w:numPr>
          <w:ilvl w:val="0"/>
          <w:numId w:val="16"/>
        </w:numPr>
        <w:spacing w:after="120" w:line="276" w:lineRule="auto"/>
        <w:ind w:left="0" w:firstLine="540"/>
        <w:rPr>
          <w:lang w:val="ro-RO"/>
        </w:rPr>
      </w:pPr>
      <w:r w:rsidRPr="00CD48F9">
        <w:rPr>
          <w:lang w:val="ro-RO"/>
        </w:rPr>
        <w:t>În perioada 6-10 mai 2019, Direcția Națională Anticorupție a coordonat organizare</w:t>
      </w:r>
      <w:r w:rsidR="008359E4" w:rsidRPr="00CD48F9">
        <w:rPr>
          <w:lang w:val="ro-RO"/>
        </w:rPr>
        <w:t>a</w:t>
      </w:r>
      <w:r w:rsidRPr="00CD48F9">
        <w:rPr>
          <w:lang w:val="ro-RO"/>
        </w:rPr>
        <w:t>, la București, a unei vizite de studiu finanțată de Oficiul TAIEX în beneficiul Autorității Naționale Anticorupție din Republica Tuni</w:t>
      </w:r>
      <w:r w:rsidR="0074416E" w:rsidRPr="00CD48F9">
        <w:rPr>
          <w:lang w:val="ro-RO"/>
        </w:rPr>
        <w:t xml:space="preserve">siană – INLUCC. Din delegația tunisiană a făcut parte și președintele INLUUC, vizita delegației la ANABI având loc la data de 9 mai 2019. În cadrul vizitei, reprezentanții ANABI au prezentat activitatea instituției, precum și bune practici în domeniul identificării și administrării bunurilor.   </w:t>
      </w:r>
      <w:r w:rsidRPr="00CD48F9">
        <w:rPr>
          <w:lang w:val="ro-RO"/>
        </w:rPr>
        <w:t xml:space="preserve"> </w:t>
      </w:r>
    </w:p>
    <w:p w:rsidR="009E7197" w:rsidRPr="00CD48F9" w:rsidRDefault="0074416E" w:rsidP="0080034B">
      <w:pPr>
        <w:pStyle w:val="ListParagraph"/>
        <w:numPr>
          <w:ilvl w:val="0"/>
          <w:numId w:val="16"/>
        </w:numPr>
        <w:spacing w:after="120" w:line="276" w:lineRule="auto"/>
        <w:ind w:left="0" w:firstLine="540"/>
        <w:rPr>
          <w:lang w:val="ro-RO"/>
        </w:rPr>
      </w:pPr>
      <w:r w:rsidRPr="00CD48F9">
        <w:rPr>
          <w:lang w:val="ro-RO"/>
        </w:rPr>
        <w:t>În cadrul proiectului ISPF-2017-AG-THBX-815267</w:t>
      </w:r>
      <w:r w:rsidR="008359E4" w:rsidRPr="00CD48F9">
        <w:rPr>
          <w:lang w:val="ro-RO"/>
        </w:rPr>
        <w:t xml:space="preserve"> </w:t>
      </w:r>
      <w:r w:rsidRPr="00CD48F9">
        <w:rPr>
          <w:lang w:val="ro-RO"/>
        </w:rPr>
        <w:t xml:space="preserve">- </w:t>
      </w:r>
      <w:r w:rsidR="00972E3A" w:rsidRPr="00CD48F9">
        <w:rPr>
          <w:lang w:val="ro-RO"/>
        </w:rPr>
        <w:t>”</w:t>
      </w:r>
      <w:r w:rsidRPr="00CD48F9">
        <w:rPr>
          <w:i/>
          <w:lang w:val="ro-RO"/>
        </w:rPr>
        <w:t>Întărirea capacității de combatere a traficului de persoane și a produsului acestei infracțiuni prin investigații financiare avansate</w:t>
      </w:r>
      <w:r w:rsidR="00972E3A" w:rsidRPr="00CD48F9">
        <w:rPr>
          <w:lang w:val="ro-RO"/>
        </w:rPr>
        <w:t>”,</w:t>
      </w:r>
      <w:r w:rsidRPr="00CD48F9">
        <w:rPr>
          <w:lang w:val="ro-RO"/>
        </w:rPr>
        <w:t xml:space="preserve"> implementat de </w:t>
      </w:r>
      <w:r w:rsidR="00972E3A" w:rsidRPr="00CD48F9">
        <w:rPr>
          <w:lang w:val="ro-RO"/>
        </w:rPr>
        <w:t>PÎCCJ</w:t>
      </w:r>
      <w:r w:rsidRPr="00CD48F9">
        <w:rPr>
          <w:lang w:val="ro-RO"/>
        </w:rPr>
        <w:t xml:space="preserve"> și </w:t>
      </w:r>
      <w:r w:rsidR="00972E3A" w:rsidRPr="00CD48F9">
        <w:rPr>
          <w:lang w:val="ro-RO"/>
        </w:rPr>
        <w:t>DIICOT</w:t>
      </w:r>
      <w:r w:rsidRPr="00CD48F9">
        <w:rPr>
          <w:lang w:val="ro-RO"/>
        </w:rPr>
        <w:t>, în perioada 24-28 iunie 2019, a avut loc o vizită de studiu</w:t>
      </w:r>
      <w:r w:rsidR="00BD512C" w:rsidRPr="00CD48F9">
        <w:rPr>
          <w:lang w:val="ro-RO"/>
        </w:rPr>
        <w:t xml:space="preserve">, în România, a partenerilor olandezi și austrieci, cu scopul schimbului de bune practici în domeniul investigațiilor financiare, în cazurile de trafic de persoane. În acest sens, la data de 25 iunie, reprezentanții ANABI au </w:t>
      </w:r>
      <w:proofErr w:type="spellStart"/>
      <w:r w:rsidR="00BD512C" w:rsidRPr="00CD48F9">
        <w:rPr>
          <w:lang w:val="ro-RO"/>
        </w:rPr>
        <w:t>usținut</w:t>
      </w:r>
      <w:proofErr w:type="spellEnd"/>
      <w:r w:rsidR="00BD512C" w:rsidRPr="00CD48F9">
        <w:rPr>
          <w:lang w:val="ro-RO"/>
        </w:rPr>
        <w:t xml:space="preserve"> o prezentare privind identificarea și administrarea bunurilor cu relevanță în cazul infracțiunilor de trafic de persoane.</w:t>
      </w:r>
    </w:p>
    <w:p w:rsidR="0074416E" w:rsidRPr="00CD48F9" w:rsidRDefault="00BD512C" w:rsidP="0080034B">
      <w:pPr>
        <w:pStyle w:val="ListParagraph"/>
        <w:numPr>
          <w:ilvl w:val="0"/>
          <w:numId w:val="16"/>
        </w:numPr>
        <w:spacing w:after="120" w:line="276" w:lineRule="auto"/>
        <w:ind w:left="0" w:firstLine="540"/>
        <w:rPr>
          <w:lang w:val="ro-RO"/>
        </w:rPr>
      </w:pPr>
      <w:r w:rsidRPr="00CD48F9">
        <w:rPr>
          <w:lang w:val="ro-RO"/>
        </w:rPr>
        <w:t>În cadrul proiectului IPA2017</w:t>
      </w:r>
      <w:r w:rsidR="008359E4" w:rsidRPr="00CD48F9">
        <w:rPr>
          <w:lang w:val="ro-RO"/>
        </w:rPr>
        <w:t xml:space="preserve"> </w:t>
      </w:r>
      <w:r w:rsidRPr="00CD48F9">
        <w:rPr>
          <w:lang w:val="ro-RO"/>
        </w:rPr>
        <w:t>-</w:t>
      </w:r>
      <w:r w:rsidR="00972E3A" w:rsidRPr="00CD48F9">
        <w:rPr>
          <w:lang w:val="ro-RO"/>
        </w:rPr>
        <w:t xml:space="preserve"> </w:t>
      </w:r>
      <w:r w:rsidR="00972E3A" w:rsidRPr="00CD48F9">
        <w:rPr>
          <w:i/>
          <w:lang w:val="ro-RO"/>
        </w:rPr>
        <w:t>”</w:t>
      </w:r>
      <w:r w:rsidRPr="00CD48F9">
        <w:rPr>
          <w:i/>
          <w:lang w:val="ro-RO"/>
        </w:rPr>
        <w:t xml:space="preserve">Combaterea Criminalității Organizate în Balcanii de Vest, </w:t>
      </w:r>
      <w:proofErr w:type="spellStart"/>
      <w:r w:rsidRPr="00CD48F9">
        <w:rPr>
          <w:i/>
          <w:lang w:val="ro-RO"/>
        </w:rPr>
        <w:t>co</w:t>
      </w:r>
      <w:proofErr w:type="spellEnd"/>
      <w:r w:rsidRPr="00CD48F9">
        <w:rPr>
          <w:i/>
          <w:lang w:val="ro-RO"/>
        </w:rPr>
        <w:t>-fi</w:t>
      </w:r>
      <w:r w:rsidR="00972E3A" w:rsidRPr="00CD48F9">
        <w:rPr>
          <w:i/>
          <w:lang w:val="ro-RO"/>
        </w:rPr>
        <w:t>nanțat de uniunea Europeană și G</w:t>
      </w:r>
      <w:r w:rsidRPr="00CD48F9">
        <w:rPr>
          <w:i/>
          <w:lang w:val="ro-RO"/>
        </w:rPr>
        <w:t>ermania</w:t>
      </w:r>
      <w:r w:rsidR="00972E3A" w:rsidRPr="00CD48F9">
        <w:rPr>
          <w:i/>
          <w:lang w:val="ro-RO"/>
        </w:rPr>
        <w:t>”</w:t>
      </w:r>
      <w:r w:rsidRPr="00CD48F9">
        <w:rPr>
          <w:lang w:val="ro-RO"/>
        </w:rPr>
        <w:t>, ANABI a găzduit, în perioada 22-23 august 2019, o vizită de studiu a unei delegații din Republica Macedonia</w:t>
      </w:r>
      <w:r w:rsidR="00972E3A" w:rsidRPr="00CD48F9">
        <w:rPr>
          <w:lang w:val="ro-RO"/>
        </w:rPr>
        <w:t xml:space="preserve"> de Nord. Temele discutate au vi</w:t>
      </w:r>
      <w:r w:rsidRPr="00CD48F9">
        <w:rPr>
          <w:lang w:val="ro-RO"/>
        </w:rPr>
        <w:t>zat activitatea ANABI în domeniul identificării și administrării bunurilor, cooperarea internațională cu instituții similare la nivelul UE, precum și cu state terțe, schimbul de informații în cadrul platformei ARO și al rețelei CARIN.</w:t>
      </w:r>
      <w:r w:rsidR="0074416E" w:rsidRPr="00CD48F9">
        <w:rPr>
          <w:lang w:val="ro-RO"/>
        </w:rPr>
        <w:t xml:space="preserve"> </w:t>
      </w:r>
    </w:p>
    <w:p w:rsidR="00421F7A" w:rsidRPr="00CD48F9" w:rsidRDefault="000F54FC" w:rsidP="00972E3A">
      <w:pPr>
        <w:pStyle w:val="Title"/>
        <w:spacing w:before="0" w:after="120" w:line="276" w:lineRule="auto"/>
        <w:jc w:val="both"/>
        <w:rPr>
          <w:lang w:val="ro-RO"/>
        </w:rPr>
      </w:pPr>
      <w:bookmarkStart w:id="31" w:name="_Toc3376532"/>
      <w:r w:rsidRPr="00CD48F9">
        <w:rPr>
          <w:rFonts w:ascii="Trebuchet MS" w:eastAsia="MS Mincho" w:hAnsi="Trebuchet MS"/>
          <w:b w:val="0"/>
          <w:bCs w:val="0"/>
          <w:kern w:val="0"/>
          <w:sz w:val="22"/>
          <w:szCs w:val="22"/>
          <w:lang w:val="ro-RO"/>
        </w:rPr>
        <w:lastRenderedPageBreak/>
        <w:t xml:space="preserve">Implementarea </w:t>
      </w:r>
      <w:r w:rsidRPr="00CD48F9">
        <w:rPr>
          <w:rFonts w:ascii="Trebuchet MS" w:eastAsia="MS Mincho" w:hAnsi="Trebuchet MS"/>
          <w:bCs w:val="0"/>
          <w:kern w:val="0"/>
          <w:sz w:val="22"/>
          <w:szCs w:val="22"/>
          <w:lang w:val="ro-RO"/>
        </w:rPr>
        <w:t>măsurii 5.2.6.</w:t>
      </w:r>
      <w:r w:rsidRPr="00CD48F9">
        <w:rPr>
          <w:rFonts w:ascii="Trebuchet MS" w:eastAsia="MS Mincho" w:hAnsi="Trebuchet MS"/>
          <w:b w:val="0"/>
          <w:bCs w:val="0"/>
          <w:kern w:val="0"/>
          <w:sz w:val="22"/>
          <w:szCs w:val="22"/>
          <w:lang w:val="ro-RO"/>
        </w:rPr>
        <w:t xml:space="preserve"> privind d</w:t>
      </w:r>
      <w:r w:rsidR="00B85F62" w:rsidRPr="00CD48F9">
        <w:rPr>
          <w:rFonts w:ascii="Trebuchet MS" w:eastAsia="MS Mincho" w:hAnsi="Trebuchet MS"/>
          <w:b w:val="0"/>
          <w:bCs w:val="0"/>
          <w:kern w:val="0"/>
          <w:sz w:val="22"/>
          <w:szCs w:val="22"/>
          <w:lang w:val="ro-RO"/>
        </w:rPr>
        <w:t xml:space="preserve">ezvoltarea unui mecanism integrat de monitorizare a măsurilor asigurătorii </w:t>
      </w:r>
      <w:proofErr w:type="spellStart"/>
      <w:r w:rsidR="00B85F62" w:rsidRPr="00CD48F9">
        <w:rPr>
          <w:rFonts w:ascii="Trebuchet MS" w:eastAsia="MS Mincho" w:hAnsi="Trebuchet MS"/>
          <w:b w:val="0"/>
          <w:bCs w:val="0"/>
          <w:kern w:val="0"/>
          <w:sz w:val="22"/>
          <w:szCs w:val="22"/>
          <w:lang w:val="ro-RO"/>
        </w:rPr>
        <w:t>şi</w:t>
      </w:r>
      <w:proofErr w:type="spellEnd"/>
      <w:r w:rsidR="00B85F62" w:rsidRPr="00CD48F9">
        <w:rPr>
          <w:rFonts w:ascii="Trebuchet MS" w:eastAsia="MS Mincho" w:hAnsi="Trebuchet MS"/>
          <w:b w:val="0"/>
          <w:bCs w:val="0"/>
          <w:kern w:val="0"/>
          <w:sz w:val="22"/>
          <w:szCs w:val="22"/>
          <w:lang w:val="ro-RO"/>
        </w:rPr>
        <w:t xml:space="preserve"> a confiscărilor</w:t>
      </w:r>
      <w:r w:rsidR="002025F8" w:rsidRPr="00CD48F9">
        <w:rPr>
          <w:rFonts w:ascii="Trebuchet MS" w:eastAsia="MS Mincho" w:hAnsi="Trebuchet MS"/>
          <w:b w:val="0"/>
          <w:bCs w:val="0"/>
          <w:kern w:val="0"/>
          <w:sz w:val="22"/>
          <w:szCs w:val="22"/>
          <w:lang w:val="ro-RO"/>
        </w:rPr>
        <w:t>,</w:t>
      </w:r>
      <w:r w:rsidR="00B85F62" w:rsidRPr="00CD48F9">
        <w:rPr>
          <w:rFonts w:ascii="Trebuchet MS" w:eastAsia="MS Mincho" w:hAnsi="Trebuchet MS"/>
          <w:b w:val="0"/>
          <w:bCs w:val="0"/>
          <w:kern w:val="0"/>
          <w:sz w:val="22"/>
          <w:szCs w:val="22"/>
          <w:lang w:val="ro-RO"/>
        </w:rPr>
        <w:t xml:space="preserve"> </w:t>
      </w:r>
      <w:bookmarkEnd w:id="31"/>
      <w:r w:rsidRPr="00CD48F9">
        <w:rPr>
          <w:rFonts w:ascii="Trebuchet MS" w:eastAsia="MS Mincho" w:hAnsi="Trebuchet MS"/>
          <w:b w:val="0"/>
          <w:bCs w:val="0"/>
          <w:kern w:val="0"/>
          <w:sz w:val="22"/>
          <w:szCs w:val="22"/>
          <w:lang w:val="ro-RO"/>
        </w:rPr>
        <w:t>se realizează prin proiectul</w:t>
      </w:r>
      <w:r w:rsidR="00421F7A" w:rsidRPr="00CD48F9">
        <w:rPr>
          <w:rFonts w:ascii="Trebuchet MS" w:eastAsia="MS Mincho" w:hAnsi="Trebuchet MS"/>
          <w:b w:val="0"/>
          <w:bCs w:val="0"/>
          <w:kern w:val="0"/>
          <w:sz w:val="22"/>
          <w:szCs w:val="22"/>
          <w:lang w:val="ro-RO"/>
        </w:rPr>
        <w:t xml:space="preserve"> </w:t>
      </w:r>
      <w:r w:rsidR="00421F7A" w:rsidRPr="00CD48F9">
        <w:rPr>
          <w:rFonts w:ascii="Trebuchet MS" w:eastAsia="MS Mincho" w:hAnsi="Trebuchet MS"/>
          <w:b w:val="0"/>
          <w:bCs w:val="0"/>
          <w:i/>
          <w:kern w:val="0"/>
          <w:sz w:val="22"/>
          <w:szCs w:val="22"/>
          <w:lang w:val="ro-RO"/>
        </w:rPr>
        <w:t>”Sprijin pentru îndeplinirea obiectivelor Strategiei Naționale Anticorupție prin creșterea gradului de recuperare a produselor infracțiunilor”</w:t>
      </w:r>
      <w:r w:rsidR="00421F7A" w:rsidRPr="00CD48F9">
        <w:rPr>
          <w:rFonts w:ascii="Trebuchet MS" w:eastAsia="MS Mincho" w:hAnsi="Trebuchet MS"/>
          <w:b w:val="0"/>
          <w:bCs w:val="0"/>
          <w:kern w:val="0"/>
          <w:sz w:val="22"/>
          <w:szCs w:val="22"/>
          <w:lang w:val="ro-RO"/>
        </w:rPr>
        <w:t>, finanțat prin fonduri externe nerambursabile, respectiv din cadrul Programului de Cooperare Elvețiano-Român, pentru reducerea disparităților economice și sociale din cadrul Europei extinse.</w:t>
      </w:r>
    </w:p>
    <w:p w:rsidR="00421F7A" w:rsidRPr="00CD48F9" w:rsidRDefault="00421F7A" w:rsidP="00972E3A">
      <w:pPr>
        <w:spacing w:after="120" w:line="276" w:lineRule="auto"/>
        <w:rPr>
          <w:lang w:val="ro-RO"/>
        </w:rPr>
      </w:pPr>
      <w:r w:rsidRPr="00CD48F9">
        <w:rPr>
          <w:lang w:val="ro-RO"/>
        </w:rPr>
        <w:t xml:space="preserve">În cadrul acestui proiect, ANABI a finalizat caietul de sarcini privind achiziționarea serviciilor de tip dezvoltare </w:t>
      </w:r>
      <w:proofErr w:type="spellStart"/>
      <w:r w:rsidRPr="00CD48F9">
        <w:rPr>
          <w:lang w:val="ro-RO"/>
        </w:rPr>
        <w:t>sofware</w:t>
      </w:r>
      <w:proofErr w:type="spellEnd"/>
      <w:r w:rsidRPr="00CD48F9">
        <w:rPr>
          <w:lang w:val="ro-RO"/>
        </w:rPr>
        <w:t xml:space="preserve">, servicii de instruire/formare, precum și achiziții de echipamente </w:t>
      </w:r>
      <w:proofErr w:type="spellStart"/>
      <w:r w:rsidRPr="00CD48F9">
        <w:rPr>
          <w:lang w:val="ro-RO"/>
        </w:rPr>
        <w:t>harware</w:t>
      </w:r>
      <w:proofErr w:type="spellEnd"/>
      <w:r w:rsidRPr="00CD48F9">
        <w:rPr>
          <w:lang w:val="ro-RO"/>
        </w:rPr>
        <w:t xml:space="preserve"> de tip servere și accesorii, necesare pentru rularea aplicației/sistemului informatic.</w:t>
      </w:r>
      <w:r w:rsidR="00C327D3" w:rsidRPr="00CD48F9">
        <w:rPr>
          <w:lang w:val="ro-RO"/>
        </w:rPr>
        <w:t xml:space="preserve"> </w:t>
      </w:r>
      <w:r w:rsidRPr="00CD48F9">
        <w:rPr>
          <w:lang w:val="ro-RO"/>
        </w:rPr>
        <w:t>ANABI a organizat 2 licitații publice deschise on-line</w:t>
      </w:r>
      <w:r w:rsidR="00CC38F7" w:rsidRPr="00CD48F9">
        <w:rPr>
          <w:lang w:val="ro-RO"/>
        </w:rPr>
        <w:t>,</w:t>
      </w:r>
      <w:r w:rsidRPr="00CD48F9">
        <w:rPr>
          <w:lang w:val="ro-RO"/>
        </w:rPr>
        <w:t xml:space="preserve"> în </w:t>
      </w:r>
      <w:r w:rsidR="00CC38F7" w:rsidRPr="00CD48F9">
        <w:rPr>
          <w:lang w:val="ro-RO"/>
        </w:rPr>
        <w:t xml:space="preserve"> </w:t>
      </w:r>
      <w:r w:rsidRPr="00CD48F9">
        <w:rPr>
          <w:lang w:val="ro-RO"/>
        </w:rPr>
        <w:t xml:space="preserve">vederea achiziționării serviciilor IT necesare dezvoltării sistemului, ambele fiind anulate pe motivul nedepunerii vreunei oferte admisibile.  </w:t>
      </w:r>
    </w:p>
    <w:p w:rsidR="00CC38F7" w:rsidRPr="00CD48F9" w:rsidRDefault="00CC38F7" w:rsidP="00972E3A">
      <w:pPr>
        <w:spacing w:after="120" w:line="276" w:lineRule="auto"/>
        <w:rPr>
          <w:lang w:val="ro-RO"/>
        </w:rPr>
      </w:pPr>
      <w:r w:rsidRPr="00CD48F9">
        <w:rPr>
          <w:lang w:val="ro-RO"/>
        </w:rPr>
        <w:t xml:space="preserve">Având în vedere că perioada de implementare a proiectului s-a sfârșit, la data de 19.09.2019 a fost depusă fișa de proiect cu titlul </w:t>
      </w:r>
      <w:r w:rsidRPr="00CD48F9">
        <w:rPr>
          <w:i/>
          <w:lang w:val="ro-RO"/>
        </w:rPr>
        <w:t>“Dezvoltarea sistemului informatic național integrat de evidența a creanțelor provenite din infracțiuni”,</w:t>
      </w:r>
      <w:r w:rsidRPr="00CD48F9">
        <w:rPr>
          <w:lang w:val="ro-RO"/>
        </w:rPr>
        <w:t xml:space="preserve"> având ca partener instituțional Parchetul de pe lângă Înalta Curte de Casație și Justiție, în cadrul cererii de proiecte POCA/354/1/3 (IP10/2018) </w:t>
      </w:r>
      <w:r w:rsidRPr="00CD48F9">
        <w:rPr>
          <w:i/>
          <w:lang w:val="ro-RO"/>
        </w:rPr>
        <w:t>„Sprijin pentru acțiuni de consolidare a capacității instituțiilor din sistemul judiciar”</w:t>
      </w:r>
      <w:r w:rsidRPr="00CD48F9">
        <w:rPr>
          <w:lang w:val="ro-RO"/>
        </w:rPr>
        <w:t xml:space="preserve">. La data de 23.09.2019 a fost aprobată fișa de proiect, iar la data de 20.12.2019 a fost depusă cererea de finanțare și bugetul aferent. Documentația se află în procesul de verificare a </w:t>
      </w:r>
      <w:proofErr w:type="spellStart"/>
      <w:r w:rsidRPr="00CD48F9">
        <w:rPr>
          <w:lang w:val="ro-RO"/>
        </w:rPr>
        <w:t>conformităţii</w:t>
      </w:r>
      <w:proofErr w:type="spellEnd"/>
      <w:r w:rsidRPr="00CD48F9">
        <w:rPr>
          <w:lang w:val="ro-RO"/>
        </w:rPr>
        <w:t xml:space="preserve"> administrative </w:t>
      </w:r>
      <w:proofErr w:type="spellStart"/>
      <w:r w:rsidRPr="00CD48F9">
        <w:rPr>
          <w:lang w:val="ro-RO"/>
        </w:rPr>
        <w:t>şi</w:t>
      </w:r>
      <w:proofErr w:type="spellEnd"/>
      <w:r w:rsidRPr="00CD48F9">
        <w:rPr>
          <w:lang w:val="ro-RO"/>
        </w:rPr>
        <w:t xml:space="preserve"> a </w:t>
      </w:r>
      <w:proofErr w:type="spellStart"/>
      <w:r w:rsidRPr="00CD48F9">
        <w:rPr>
          <w:lang w:val="ro-RO"/>
        </w:rPr>
        <w:t>eligibilităţii</w:t>
      </w:r>
      <w:proofErr w:type="spellEnd"/>
      <w:r w:rsidRPr="00CD48F9">
        <w:rPr>
          <w:lang w:val="ro-RO"/>
        </w:rPr>
        <w:t xml:space="preserve"> efectuat de către Autoritatea de Management pentru Programul Operațional Cap</w:t>
      </w:r>
      <w:r w:rsidR="00972E3A" w:rsidRPr="00CD48F9">
        <w:rPr>
          <w:lang w:val="ro-RO"/>
        </w:rPr>
        <w:t>acitate Administrativă</w:t>
      </w:r>
      <w:r w:rsidRPr="00CD48F9">
        <w:rPr>
          <w:lang w:val="ro-RO"/>
        </w:rPr>
        <w:t>.</w:t>
      </w:r>
    </w:p>
    <w:p w:rsidR="00CC38F7" w:rsidRPr="00CD48F9" w:rsidRDefault="00CC38F7" w:rsidP="00972E3A">
      <w:pPr>
        <w:spacing w:after="120" w:line="276" w:lineRule="auto"/>
        <w:rPr>
          <w:lang w:val="ro-RO"/>
        </w:rPr>
      </w:pPr>
      <w:r w:rsidRPr="00CD48F9">
        <w:rPr>
          <w:lang w:val="ro-RO"/>
        </w:rPr>
        <w:t>În ceea ce privește evidența măsurilor de siguranță a confiscării, respectiv despăgubirile acordate statului sau autorităților publice/instituțiilor publice, situația datelor centralizate pentru primele trei trimestre ale anului 2019 se prezintă după cum urmează:</w:t>
      </w:r>
    </w:p>
    <w:tbl>
      <w:tblPr>
        <w:tblpPr w:leftFromText="180" w:rightFromText="180" w:vertAnchor="text" w:horzAnchor="margin" w:tblpY="161"/>
        <w:tblW w:w="9124" w:type="dxa"/>
        <w:tblCellMar>
          <w:left w:w="0" w:type="dxa"/>
          <w:right w:w="0" w:type="dxa"/>
        </w:tblCellMar>
        <w:tblLook w:val="0600" w:firstRow="0" w:lastRow="0" w:firstColumn="0" w:lastColumn="0" w:noHBand="1" w:noVBand="1"/>
      </w:tblPr>
      <w:tblGrid>
        <w:gridCol w:w="4147"/>
        <w:gridCol w:w="2661"/>
        <w:gridCol w:w="2316"/>
      </w:tblGrid>
      <w:tr w:rsidR="00CC38F7" w:rsidRPr="00CD48F9" w:rsidTr="00CC38F7">
        <w:trPr>
          <w:trHeight w:val="694"/>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CC38F7" w:rsidRPr="00CD48F9" w:rsidRDefault="00CC38F7" w:rsidP="00972E3A">
            <w:pPr>
              <w:spacing w:after="120" w:line="276" w:lineRule="auto"/>
              <w:jc w:val="center"/>
              <w:rPr>
                <w:bCs/>
                <w:lang w:val="ro-RO"/>
              </w:rPr>
            </w:pPr>
            <w:r w:rsidRPr="00CD48F9">
              <w:rPr>
                <w:bCs/>
                <w:lang w:val="ro-RO"/>
              </w:rPr>
              <w:t>Tip măsură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CC38F7" w:rsidRPr="00CD48F9" w:rsidRDefault="00CC38F7" w:rsidP="00972E3A">
            <w:pPr>
              <w:spacing w:after="120" w:line="276" w:lineRule="auto"/>
              <w:jc w:val="center"/>
              <w:rPr>
                <w:bCs/>
                <w:lang w:val="ro-RO"/>
              </w:rPr>
            </w:pPr>
            <w:r w:rsidRPr="00CD48F9">
              <w:rPr>
                <w:bCs/>
                <w:lang w:val="ro-RO"/>
              </w:rPr>
              <w:t>Nr. hotărâri în care au fost dispuse acest tip de măsuri</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bCs/>
                <w:lang w:val="ro-RO"/>
              </w:rPr>
            </w:pPr>
            <w:r w:rsidRPr="00CD48F9">
              <w:rPr>
                <w:bCs/>
                <w:lang w:val="ro-RO"/>
              </w:rPr>
              <w:t>Sume de bani (lei)</w:t>
            </w:r>
          </w:p>
        </w:tc>
      </w:tr>
      <w:tr w:rsidR="00CC38F7" w:rsidRPr="00CD48F9" w:rsidTr="00CC38F7">
        <w:trPr>
          <w:trHeight w:val="563"/>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Amendă aplicată ca pedeapsă principală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390</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rFonts w:cs="Calibri"/>
                <w:lang w:val="ro-RO"/>
              </w:rPr>
            </w:pPr>
            <w:r w:rsidRPr="00CD48F9">
              <w:rPr>
                <w:rFonts w:cs="Calibri"/>
                <w:lang w:val="ro-RO"/>
              </w:rPr>
              <w:t>9.121.622,62</w:t>
            </w:r>
          </w:p>
          <w:p w:rsidR="00CC38F7" w:rsidRPr="00CD48F9" w:rsidRDefault="00CC38F7" w:rsidP="00972E3A">
            <w:pPr>
              <w:spacing w:after="120" w:line="276" w:lineRule="auto"/>
              <w:jc w:val="center"/>
              <w:rPr>
                <w:bCs/>
                <w:lang w:val="ro-RO"/>
              </w:rPr>
            </w:pP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Confiscare extinsă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27</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bCs/>
                <w:lang w:val="ro-RO"/>
              </w:rPr>
            </w:pPr>
            <w:r w:rsidRPr="00CD48F9">
              <w:rPr>
                <w:lang w:val="ro-RO"/>
              </w:rPr>
              <w:t>821.727,04</w:t>
            </w: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Confiscare specială</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8.734</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rFonts w:cs="Calibri"/>
                <w:lang w:val="ro-RO"/>
              </w:rPr>
            </w:pPr>
            <w:r w:rsidRPr="00CD48F9">
              <w:rPr>
                <w:rFonts w:cs="Calibri"/>
                <w:lang w:val="ro-RO"/>
              </w:rPr>
              <w:t>63.390.741,37</w:t>
            </w: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Despăgubiri acordate autorităților sau instituțiilor publice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595</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rFonts w:cs="Calibri"/>
                <w:lang w:val="ro-RO"/>
              </w:rPr>
            </w:pPr>
            <w:r w:rsidRPr="00CD48F9">
              <w:rPr>
                <w:rFonts w:cs="Calibri"/>
                <w:lang w:val="ro-RO"/>
              </w:rPr>
              <w:t>36.326.281,02</w:t>
            </w:r>
          </w:p>
          <w:p w:rsidR="00CC38F7" w:rsidRPr="00CD48F9" w:rsidRDefault="00CC38F7" w:rsidP="00972E3A">
            <w:pPr>
              <w:spacing w:after="120" w:line="276" w:lineRule="auto"/>
              <w:jc w:val="center"/>
              <w:rPr>
                <w:bCs/>
                <w:lang w:val="ro-RO"/>
              </w:rPr>
            </w:pP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Despăgubiri acordate statului</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294</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rFonts w:cs="Calibri"/>
                <w:lang w:val="ro-RO"/>
              </w:rPr>
            </w:pPr>
            <w:r w:rsidRPr="00CD48F9">
              <w:rPr>
                <w:rFonts w:cs="Calibri"/>
                <w:lang w:val="ro-RO"/>
              </w:rPr>
              <w:t>325.207.265,85</w:t>
            </w:r>
          </w:p>
          <w:p w:rsidR="00CC38F7" w:rsidRPr="00CD48F9" w:rsidRDefault="00CC38F7" w:rsidP="00972E3A">
            <w:pPr>
              <w:spacing w:after="120" w:line="276" w:lineRule="auto"/>
              <w:jc w:val="center"/>
              <w:rPr>
                <w:bCs/>
                <w:lang w:val="ro-RO"/>
              </w:rPr>
            </w:pPr>
          </w:p>
        </w:tc>
      </w:tr>
      <w:tr w:rsidR="00CC38F7" w:rsidRPr="00AB4CE4"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Ordine de confiscare în baza DC 2006/783/JAI primite de la alte state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5</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bCs/>
                <w:lang w:val="ro-RO"/>
              </w:rPr>
            </w:pPr>
            <w:r w:rsidRPr="00CD48F9">
              <w:rPr>
                <w:lang w:val="ro-RO"/>
              </w:rPr>
              <w:t xml:space="preserve">1.045.531,67 +1 bun imobil neevaluat + alte bunuri </w:t>
            </w: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CC38F7" w:rsidRPr="00CD48F9" w:rsidRDefault="00CC38F7" w:rsidP="00972E3A">
            <w:pPr>
              <w:spacing w:after="120" w:line="276" w:lineRule="auto"/>
              <w:jc w:val="center"/>
              <w:rPr>
                <w:bCs/>
                <w:lang w:val="ro-RO"/>
              </w:rPr>
            </w:pPr>
            <w:r w:rsidRPr="00CD48F9">
              <w:rPr>
                <w:bCs/>
                <w:lang w:val="ro-RO"/>
              </w:rPr>
              <w:t>Ordine de sechestru în baza DC 2003/577/JAI primite de la alte state</w:t>
            </w:r>
          </w:p>
        </w:tc>
        <w:tc>
          <w:tcPr>
            <w:tcW w:w="26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CC38F7" w:rsidRPr="00CD48F9" w:rsidRDefault="00CC38F7" w:rsidP="00972E3A">
            <w:pPr>
              <w:spacing w:after="120" w:line="276" w:lineRule="auto"/>
              <w:jc w:val="center"/>
              <w:rPr>
                <w:bCs/>
                <w:lang w:val="ro-RO"/>
              </w:rPr>
            </w:pPr>
            <w:r w:rsidRPr="00CD48F9">
              <w:rPr>
                <w:bCs/>
                <w:lang w:val="ro-RO"/>
              </w:rPr>
              <w:t>-</w:t>
            </w:r>
          </w:p>
        </w:tc>
        <w:tc>
          <w:tcPr>
            <w:tcW w:w="2316" w:type="dxa"/>
            <w:tcBorders>
              <w:top w:val="single" w:sz="8" w:space="0" w:color="FFFFFF"/>
              <w:left w:val="single" w:sz="8" w:space="0" w:color="FFFFFF"/>
              <w:bottom w:val="single" w:sz="8" w:space="0" w:color="FFFFFF"/>
              <w:right w:val="single" w:sz="8" w:space="0" w:color="FFFFFF"/>
            </w:tcBorders>
            <w:shd w:val="clear" w:color="auto" w:fill="EAEFF7"/>
          </w:tcPr>
          <w:p w:rsidR="00CC38F7" w:rsidRPr="00CD48F9" w:rsidRDefault="00CC38F7" w:rsidP="00972E3A">
            <w:pPr>
              <w:spacing w:after="120" w:line="276" w:lineRule="auto"/>
              <w:jc w:val="center"/>
              <w:rPr>
                <w:lang w:val="ro-RO"/>
              </w:rPr>
            </w:pPr>
            <w:r w:rsidRPr="00CD48F9">
              <w:rPr>
                <w:lang w:val="ro-RO"/>
              </w:rPr>
              <w:t>-</w:t>
            </w:r>
          </w:p>
        </w:tc>
      </w:tr>
      <w:tr w:rsidR="00CC38F7" w:rsidRPr="00CD48F9" w:rsidTr="00CC38F7">
        <w:trPr>
          <w:trHeight w:val="20"/>
        </w:trPr>
        <w:tc>
          <w:tcPr>
            <w:tcW w:w="4147"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hideMark/>
          </w:tcPr>
          <w:p w:rsidR="00CC38F7" w:rsidRPr="00CD48F9" w:rsidRDefault="00CC38F7" w:rsidP="00972E3A">
            <w:pPr>
              <w:spacing w:after="120" w:line="276" w:lineRule="auto"/>
              <w:jc w:val="center"/>
              <w:rPr>
                <w:b/>
                <w:bCs/>
                <w:lang w:val="ro-RO"/>
              </w:rPr>
            </w:pPr>
            <w:r w:rsidRPr="00CD48F9">
              <w:rPr>
                <w:b/>
                <w:bCs/>
                <w:lang w:val="ro-RO"/>
              </w:rPr>
              <w:t>Total</w:t>
            </w:r>
          </w:p>
        </w:tc>
        <w:tc>
          <w:tcPr>
            <w:tcW w:w="2661"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hideMark/>
          </w:tcPr>
          <w:p w:rsidR="00CC38F7" w:rsidRPr="00CD48F9" w:rsidRDefault="00CC38F7" w:rsidP="00972E3A">
            <w:pPr>
              <w:spacing w:after="120" w:line="276" w:lineRule="auto"/>
              <w:jc w:val="center"/>
              <w:rPr>
                <w:bCs/>
                <w:lang w:val="ro-RO"/>
              </w:rPr>
            </w:pPr>
            <w:r w:rsidRPr="00CD48F9">
              <w:rPr>
                <w:bCs/>
                <w:lang w:val="ro-RO"/>
              </w:rPr>
              <w:t>10.045</w:t>
            </w:r>
          </w:p>
        </w:tc>
        <w:tc>
          <w:tcPr>
            <w:tcW w:w="2316" w:type="dxa"/>
            <w:tcBorders>
              <w:top w:val="single" w:sz="8" w:space="0" w:color="FFFFFF"/>
              <w:left w:val="single" w:sz="8" w:space="0" w:color="FFFFFF"/>
              <w:bottom w:val="single" w:sz="8" w:space="0" w:color="FFFFFF"/>
              <w:right w:val="single" w:sz="8" w:space="0" w:color="FFFFFF"/>
            </w:tcBorders>
            <w:shd w:val="clear" w:color="auto" w:fill="548DD4" w:themeFill="text2" w:themeFillTint="99"/>
            <w:vAlign w:val="bottom"/>
          </w:tcPr>
          <w:p w:rsidR="00CC38F7" w:rsidRPr="00CD48F9" w:rsidRDefault="00CC38F7" w:rsidP="00972E3A">
            <w:pPr>
              <w:spacing w:after="120" w:line="276" w:lineRule="auto"/>
              <w:jc w:val="right"/>
              <w:rPr>
                <w:rFonts w:cs="Calibri"/>
                <w:color w:val="000000"/>
                <w:lang w:val="ro-RO"/>
              </w:rPr>
            </w:pPr>
            <w:r w:rsidRPr="00CD48F9">
              <w:rPr>
                <w:rFonts w:cs="Calibri"/>
                <w:color w:val="000000"/>
                <w:lang w:val="ro-RO"/>
              </w:rPr>
              <w:t>435.913.169,57</w:t>
            </w:r>
          </w:p>
        </w:tc>
      </w:tr>
    </w:tbl>
    <w:p w:rsidR="00CC38F7" w:rsidRPr="00CD48F9" w:rsidRDefault="00CC38F7" w:rsidP="00972E3A">
      <w:pPr>
        <w:spacing w:after="120" w:line="276" w:lineRule="auto"/>
        <w:rPr>
          <w:b/>
          <w:lang w:val="ro-RO"/>
        </w:rPr>
      </w:pPr>
      <w:r w:rsidRPr="00CD48F9">
        <w:rPr>
          <w:b/>
          <w:lang w:val="ro-RO"/>
        </w:rPr>
        <w:t>Indicatori aferenți activității ANABI:</w:t>
      </w:r>
    </w:p>
    <w:p w:rsidR="00CC38F7" w:rsidRPr="00CD48F9" w:rsidRDefault="00CC38F7" w:rsidP="00972E3A">
      <w:pPr>
        <w:spacing w:after="120" w:line="276" w:lineRule="auto"/>
        <w:rPr>
          <w:lang w:val="ro-RO"/>
        </w:rPr>
      </w:pPr>
      <w:r w:rsidRPr="00CD48F9">
        <w:rPr>
          <w:b/>
          <w:lang w:val="ro-RO"/>
        </w:rPr>
        <w:lastRenderedPageBreak/>
        <w:t>Sume indisponibilizate în contul unic ANABI</w:t>
      </w:r>
      <w:r w:rsidRPr="00CD48F9">
        <w:rPr>
          <w:lang w:val="ro-RO"/>
        </w:rPr>
        <w:t xml:space="preserve"> – aprox. 151.667.580,12 Lei (echivalent a 31.734.266,55 Euro).</w:t>
      </w:r>
    </w:p>
    <w:p w:rsidR="00CC38F7" w:rsidRPr="00CD48F9" w:rsidRDefault="00CC38F7" w:rsidP="00972E3A">
      <w:pPr>
        <w:spacing w:after="120" w:line="276" w:lineRule="auto"/>
        <w:rPr>
          <w:rFonts w:eastAsia="Times New Roman"/>
          <w:bCs/>
          <w:color w:val="000000"/>
          <w:lang w:val="ro-RO"/>
        </w:rPr>
      </w:pPr>
      <w:r w:rsidRPr="00CD48F9">
        <w:rPr>
          <w:b/>
          <w:lang w:val="ro-RO"/>
        </w:rPr>
        <w:t>Sume indisponibilizate și aflate în evidența ANABI</w:t>
      </w:r>
      <w:r w:rsidRPr="00CD48F9">
        <w:rPr>
          <w:lang w:val="ro-RO"/>
        </w:rPr>
        <w:t xml:space="preserve"> – aprox.  </w:t>
      </w:r>
      <w:r w:rsidRPr="00CD48F9">
        <w:rPr>
          <w:rFonts w:eastAsia="Times New Roman"/>
          <w:bCs/>
          <w:color w:val="000000"/>
          <w:lang w:val="ro-RO"/>
        </w:rPr>
        <w:t>808.984.584 lei (echiv</w:t>
      </w:r>
      <w:r w:rsidR="00AD61B0" w:rsidRPr="00CD48F9">
        <w:rPr>
          <w:rFonts w:eastAsia="Times New Roman"/>
          <w:bCs/>
          <w:color w:val="000000"/>
          <w:lang w:val="ro-RO"/>
        </w:rPr>
        <w:t>alent</w:t>
      </w:r>
      <w:r w:rsidRPr="00CD48F9">
        <w:rPr>
          <w:rFonts w:eastAsia="Times New Roman"/>
          <w:bCs/>
          <w:color w:val="000000"/>
          <w:lang w:val="ro-RO"/>
        </w:rPr>
        <w:t xml:space="preserve"> a 173.639.584 Euro).</w:t>
      </w:r>
    </w:p>
    <w:p w:rsidR="00CC38F7" w:rsidRPr="00CD48F9" w:rsidRDefault="00CC38F7" w:rsidP="00972E3A">
      <w:pPr>
        <w:spacing w:after="120" w:line="276" w:lineRule="auto"/>
        <w:rPr>
          <w:lang w:val="ro-RO"/>
        </w:rPr>
      </w:pPr>
      <w:r w:rsidRPr="00CD48F9">
        <w:rPr>
          <w:b/>
          <w:lang w:val="ro-RO"/>
        </w:rPr>
        <w:t>Valorificări ANABI</w:t>
      </w:r>
      <w:r w:rsidRPr="00CD48F9">
        <w:rPr>
          <w:lang w:val="ro-RO"/>
        </w:rPr>
        <w:t xml:space="preserve"> - ANABI are în curs de soluționare un număr de 26 de cereri întemeiate pe art. 29 din Legea nr. 318/2018. Acestea au ca obiect valorificarea următoarelor categorii de bunuri: aprox. 400 saci minereuri, aproximativ 16 autovehicule, precum și o flotă de autoturisme </w:t>
      </w:r>
      <w:r w:rsidR="00972E3A" w:rsidRPr="00CD48F9">
        <w:rPr>
          <w:lang w:val="ro-RO"/>
        </w:rPr>
        <w:t xml:space="preserve">în regim de </w:t>
      </w:r>
      <w:r w:rsidRPr="00CD48F9">
        <w:rPr>
          <w:lang w:val="ro-RO"/>
        </w:rPr>
        <w:t xml:space="preserve">taxi, 5 autoutilitare, 9 stocuri de marfă (încălțăminte, îmbrăcăminte, produse electronice) și 243 </w:t>
      </w:r>
      <w:proofErr w:type="spellStart"/>
      <w:r w:rsidRPr="00CD48F9">
        <w:rPr>
          <w:lang w:val="ro-RO"/>
        </w:rPr>
        <w:t>paleți</w:t>
      </w:r>
      <w:proofErr w:type="spellEnd"/>
      <w:r w:rsidRPr="00CD48F9">
        <w:rPr>
          <w:lang w:val="ro-RO"/>
        </w:rPr>
        <w:t xml:space="preserve"> de piatră andezit. Cu titlu de noutate, Agenția are în curs de valorificare inclusiv părți sociale.</w:t>
      </w:r>
    </w:p>
    <w:p w:rsidR="00CC38F7" w:rsidRPr="00CD48F9" w:rsidRDefault="00CC38F7" w:rsidP="00972E3A">
      <w:pPr>
        <w:spacing w:after="120" w:line="276" w:lineRule="auto"/>
        <w:rPr>
          <w:lang w:val="ro-RO"/>
        </w:rPr>
      </w:pPr>
      <w:r w:rsidRPr="00CD48F9">
        <w:rPr>
          <w:lang w:val="ro-RO"/>
        </w:rPr>
        <w:t xml:space="preserve">În anul 2019, ANABI a organizat în total 130 de licitații publice. Totodată, ANABI a încasat și virat în contul unic un total de 4.447.891 Lei/aprox. 930.521 Euro). </w:t>
      </w:r>
      <w:r w:rsidR="00085198" w:rsidRPr="00CD48F9">
        <w:rPr>
          <w:lang w:val="ro-RO"/>
        </w:rPr>
        <w:t>Î</w:t>
      </w:r>
      <w:r w:rsidRPr="00CD48F9">
        <w:rPr>
          <w:lang w:val="ro-RO"/>
        </w:rPr>
        <w:t>n urma valorificării bunurilor, a fost virat TVA în cuantum de 197.064 lei (aprox. 41.226 euro).  Agenția a valorificat bunuri precum: 30 autoturisme, 13 autoutilitare, 1 ATV, 23,1 tone de oțel beton, schelă metalică, structură metalică tip hală, utilaje, 4 stocuri complexe de marfă.</w:t>
      </w:r>
      <w:r w:rsidRPr="00CD48F9">
        <w:rPr>
          <w:bCs/>
          <w:lang w:val="ro-RO"/>
        </w:rPr>
        <w:t xml:space="preserve"> </w:t>
      </w:r>
    </w:p>
    <w:p w:rsidR="00CC38F7" w:rsidRPr="00CD48F9" w:rsidRDefault="00CC38F7" w:rsidP="00972E3A">
      <w:pPr>
        <w:spacing w:after="120" w:line="276" w:lineRule="auto"/>
        <w:rPr>
          <w:lang w:val="ro-RO"/>
        </w:rPr>
      </w:pPr>
      <w:r w:rsidRPr="00CD48F9">
        <w:rPr>
          <w:b/>
          <w:lang w:val="ro-RO"/>
        </w:rPr>
        <w:t>Administrare ANABI</w:t>
      </w:r>
      <w:r w:rsidRPr="00CD48F9">
        <w:rPr>
          <w:lang w:val="ro-RO"/>
        </w:rPr>
        <w:t xml:space="preserve"> - ANABI înregistrează un număr de 15 solicitări întemeiate pe art. 28 din Legea nr. 318/2018, vizând administrarea unui total de 30 </w:t>
      </w:r>
      <w:r w:rsidR="00972E3A" w:rsidRPr="00CD48F9">
        <w:rPr>
          <w:lang w:val="ro-RO"/>
        </w:rPr>
        <w:t xml:space="preserve">de </w:t>
      </w:r>
      <w:r w:rsidRPr="00CD48F9">
        <w:rPr>
          <w:lang w:val="ro-RO"/>
        </w:rPr>
        <w:t>bunuri mobile indisponibilizate dintre care 26</w:t>
      </w:r>
      <w:r w:rsidR="00B46916" w:rsidRPr="00CD48F9">
        <w:rPr>
          <w:lang w:val="ro-RO"/>
        </w:rPr>
        <w:t xml:space="preserve"> de</w:t>
      </w:r>
      <w:r w:rsidRPr="00CD48F9">
        <w:rPr>
          <w:lang w:val="ro-RO"/>
        </w:rPr>
        <w:t xml:space="preserve"> autoturisme, 3 autoutilitare și un ceas automatic. Valoarea totală a bunurilor cu privire la care ANABI este sesizată în vederea administrării este de aproximativ </w:t>
      </w:r>
      <w:r w:rsidRPr="00CD48F9">
        <w:rPr>
          <w:b/>
          <w:lang w:val="ro-RO"/>
        </w:rPr>
        <w:t>3.069.048,30 lei</w:t>
      </w:r>
      <w:r w:rsidRPr="00CD48F9">
        <w:rPr>
          <w:lang w:val="ro-RO"/>
        </w:rPr>
        <w:t xml:space="preserve"> (aproximativ </w:t>
      </w:r>
      <w:r w:rsidRPr="00CD48F9">
        <w:rPr>
          <w:b/>
          <w:lang w:val="ro-RO"/>
        </w:rPr>
        <w:t>652.989 Euro)</w:t>
      </w:r>
      <w:r w:rsidRPr="00CD48F9">
        <w:rPr>
          <w:lang w:val="ro-RO"/>
        </w:rPr>
        <w:t>.</w:t>
      </w:r>
    </w:p>
    <w:p w:rsidR="002E6F0C" w:rsidRPr="00CD48F9" w:rsidRDefault="002025F8" w:rsidP="00972E3A">
      <w:pPr>
        <w:pStyle w:val="Title"/>
        <w:spacing w:before="0" w:after="120" w:line="276" w:lineRule="auto"/>
        <w:jc w:val="both"/>
        <w:rPr>
          <w:rFonts w:ascii="Trebuchet MS" w:eastAsia="MS Mincho" w:hAnsi="Trebuchet MS"/>
          <w:b w:val="0"/>
          <w:bCs w:val="0"/>
          <w:kern w:val="0"/>
          <w:sz w:val="22"/>
          <w:szCs w:val="22"/>
          <w:lang w:val="ro-RO"/>
        </w:rPr>
      </w:pPr>
      <w:bookmarkStart w:id="32" w:name="_Toc3376533"/>
      <w:r w:rsidRPr="00CD48F9">
        <w:rPr>
          <w:rFonts w:ascii="Trebuchet MS" w:eastAsia="MS Mincho" w:hAnsi="Trebuchet MS"/>
          <w:b w:val="0"/>
          <w:bCs w:val="0"/>
          <w:kern w:val="0"/>
          <w:sz w:val="22"/>
          <w:szCs w:val="22"/>
          <w:lang w:val="ro-RO"/>
        </w:rPr>
        <w:t xml:space="preserve">Referitor la </w:t>
      </w:r>
      <w:r w:rsidRPr="00CD48F9">
        <w:rPr>
          <w:rFonts w:ascii="Trebuchet MS" w:eastAsia="MS Mincho" w:hAnsi="Trebuchet MS"/>
          <w:bCs w:val="0"/>
          <w:kern w:val="0"/>
          <w:sz w:val="22"/>
          <w:szCs w:val="22"/>
          <w:lang w:val="ro-RO"/>
        </w:rPr>
        <w:t>m</w:t>
      </w:r>
      <w:r w:rsidR="00B85F62" w:rsidRPr="00CD48F9">
        <w:rPr>
          <w:rFonts w:ascii="Trebuchet MS" w:eastAsia="MS Mincho" w:hAnsi="Trebuchet MS"/>
          <w:bCs w:val="0"/>
          <w:kern w:val="0"/>
          <w:sz w:val="22"/>
          <w:szCs w:val="22"/>
          <w:lang w:val="ro-RO"/>
        </w:rPr>
        <w:t>ăsura 5.2.7.</w:t>
      </w:r>
      <w:r w:rsidRPr="00CD48F9">
        <w:rPr>
          <w:rFonts w:ascii="Trebuchet MS" w:eastAsia="MS Mincho" w:hAnsi="Trebuchet MS"/>
          <w:b w:val="0"/>
          <w:bCs w:val="0"/>
          <w:kern w:val="0"/>
          <w:sz w:val="22"/>
          <w:szCs w:val="22"/>
          <w:lang w:val="ro-RO"/>
        </w:rPr>
        <w:t xml:space="preserve"> privind</w:t>
      </w:r>
      <w:r w:rsidR="00B85F62" w:rsidRPr="00CD48F9">
        <w:rPr>
          <w:rFonts w:ascii="Trebuchet MS" w:eastAsia="MS Mincho" w:hAnsi="Trebuchet MS"/>
          <w:b w:val="0"/>
          <w:bCs w:val="0"/>
          <w:kern w:val="0"/>
          <w:sz w:val="22"/>
          <w:szCs w:val="22"/>
          <w:lang w:val="ro-RO"/>
        </w:rPr>
        <w:t xml:space="preserve"> </w:t>
      </w:r>
      <w:r w:rsidRPr="00CD48F9">
        <w:rPr>
          <w:rFonts w:ascii="Trebuchet MS" w:eastAsia="MS Mincho" w:hAnsi="Trebuchet MS"/>
          <w:b w:val="0"/>
          <w:bCs w:val="0"/>
          <w:kern w:val="0"/>
          <w:sz w:val="22"/>
          <w:szCs w:val="22"/>
          <w:lang w:val="ro-RO"/>
        </w:rPr>
        <w:t>d</w:t>
      </w:r>
      <w:r w:rsidR="002E6F0C" w:rsidRPr="00CD48F9">
        <w:rPr>
          <w:rFonts w:ascii="Trebuchet MS" w:eastAsia="MS Mincho" w:hAnsi="Trebuchet MS"/>
          <w:b w:val="0"/>
          <w:bCs w:val="0"/>
          <w:kern w:val="0"/>
          <w:sz w:val="22"/>
          <w:szCs w:val="22"/>
          <w:lang w:val="ro-RO"/>
        </w:rPr>
        <w:t xml:space="preserve">iseminarea bunelor practici în materia identificării, confiscării </w:t>
      </w:r>
      <w:proofErr w:type="spellStart"/>
      <w:r w:rsidR="002E6F0C" w:rsidRPr="00CD48F9">
        <w:rPr>
          <w:rFonts w:ascii="Trebuchet MS" w:eastAsia="MS Mincho" w:hAnsi="Trebuchet MS"/>
          <w:b w:val="0"/>
          <w:bCs w:val="0"/>
          <w:kern w:val="0"/>
          <w:sz w:val="22"/>
          <w:szCs w:val="22"/>
          <w:lang w:val="ro-RO"/>
        </w:rPr>
        <w:t>şi</w:t>
      </w:r>
      <w:proofErr w:type="spellEnd"/>
      <w:r w:rsidR="002E6F0C" w:rsidRPr="00CD48F9">
        <w:rPr>
          <w:rFonts w:ascii="Trebuchet MS" w:eastAsia="MS Mincho" w:hAnsi="Trebuchet MS"/>
          <w:b w:val="0"/>
          <w:bCs w:val="0"/>
          <w:kern w:val="0"/>
          <w:sz w:val="22"/>
          <w:szCs w:val="22"/>
          <w:lang w:val="ro-RO"/>
        </w:rPr>
        <w:t xml:space="preserve"> valorificării bunurilor provenite din </w:t>
      </w:r>
      <w:proofErr w:type="spellStart"/>
      <w:r w:rsidR="002E6F0C" w:rsidRPr="00CD48F9">
        <w:rPr>
          <w:rFonts w:ascii="Trebuchet MS" w:eastAsia="MS Mincho" w:hAnsi="Trebuchet MS"/>
          <w:b w:val="0"/>
          <w:bCs w:val="0"/>
          <w:kern w:val="0"/>
          <w:sz w:val="22"/>
          <w:szCs w:val="22"/>
          <w:lang w:val="ro-RO"/>
        </w:rPr>
        <w:t>infracţiuni</w:t>
      </w:r>
      <w:proofErr w:type="spellEnd"/>
      <w:r w:rsidR="002E6F0C" w:rsidRPr="00CD48F9">
        <w:rPr>
          <w:rFonts w:ascii="Trebuchet MS" w:eastAsia="MS Mincho" w:hAnsi="Trebuchet MS"/>
          <w:b w:val="0"/>
          <w:bCs w:val="0"/>
          <w:kern w:val="0"/>
          <w:sz w:val="22"/>
          <w:szCs w:val="22"/>
          <w:lang w:val="ro-RO"/>
        </w:rPr>
        <w:t xml:space="preserve"> de </w:t>
      </w:r>
      <w:proofErr w:type="spellStart"/>
      <w:r w:rsidR="002E6F0C" w:rsidRPr="00CD48F9">
        <w:rPr>
          <w:rFonts w:ascii="Trebuchet MS" w:eastAsia="MS Mincho" w:hAnsi="Trebuchet MS"/>
          <w:b w:val="0"/>
          <w:bCs w:val="0"/>
          <w:kern w:val="0"/>
          <w:sz w:val="22"/>
          <w:szCs w:val="22"/>
          <w:lang w:val="ro-RO"/>
        </w:rPr>
        <w:t>corupţie</w:t>
      </w:r>
      <w:proofErr w:type="spellEnd"/>
      <w:r w:rsidR="002E6F0C" w:rsidRPr="00CD48F9">
        <w:rPr>
          <w:rFonts w:ascii="Trebuchet MS" w:eastAsia="MS Mincho" w:hAnsi="Trebuchet MS"/>
          <w:b w:val="0"/>
          <w:bCs w:val="0"/>
          <w:kern w:val="0"/>
          <w:sz w:val="22"/>
          <w:szCs w:val="22"/>
          <w:lang w:val="ro-RO"/>
        </w:rPr>
        <w:t xml:space="preserve"> </w:t>
      </w:r>
      <w:proofErr w:type="spellStart"/>
      <w:r w:rsidR="002E6F0C" w:rsidRPr="00CD48F9">
        <w:rPr>
          <w:rFonts w:ascii="Trebuchet MS" w:eastAsia="MS Mincho" w:hAnsi="Trebuchet MS"/>
          <w:b w:val="0"/>
          <w:bCs w:val="0"/>
          <w:kern w:val="0"/>
          <w:sz w:val="22"/>
          <w:szCs w:val="22"/>
          <w:lang w:val="ro-RO"/>
        </w:rPr>
        <w:t>şi</w:t>
      </w:r>
      <w:proofErr w:type="spellEnd"/>
      <w:r w:rsidR="002E6F0C" w:rsidRPr="00CD48F9">
        <w:rPr>
          <w:rFonts w:ascii="Trebuchet MS" w:eastAsia="MS Mincho" w:hAnsi="Trebuchet MS"/>
          <w:b w:val="0"/>
          <w:bCs w:val="0"/>
          <w:kern w:val="0"/>
          <w:sz w:val="22"/>
          <w:szCs w:val="22"/>
          <w:lang w:val="ro-RO"/>
        </w:rPr>
        <w:t xml:space="preserve"> alte </w:t>
      </w:r>
      <w:proofErr w:type="spellStart"/>
      <w:r w:rsidR="002E6F0C" w:rsidRPr="00CD48F9">
        <w:rPr>
          <w:rFonts w:ascii="Trebuchet MS" w:eastAsia="MS Mincho" w:hAnsi="Trebuchet MS"/>
          <w:b w:val="0"/>
          <w:bCs w:val="0"/>
          <w:kern w:val="0"/>
          <w:sz w:val="22"/>
          <w:szCs w:val="22"/>
          <w:lang w:val="ro-RO"/>
        </w:rPr>
        <w:t>infracţiuni</w:t>
      </w:r>
      <w:proofErr w:type="spellEnd"/>
      <w:r w:rsidR="002E6F0C" w:rsidRPr="00CD48F9">
        <w:rPr>
          <w:rFonts w:ascii="Trebuchet MS" w:eastAsia="MS Mincho" w:hAnsi="Trebuchet MS"/>
          <w:b w:val="0"/>
          <w:bCs w:val="0"/>
          <w:kern w:val="0"/>
          <w:sz w:val="22"/>
          <w:szCs w:val="22"/>
          <w:lang w:val="ro-RO"/>
        </w:rPr>
        <w:t xml:space="preserve"> grave</w:t>
      </w:r>
      <w:bookmarkEnd w:id="32"/>
      <w:r w:rsidRPr="00CD48F9">
        <w:rPr>
          <w:rFonts w:ascii="Trebuchet MS" w:eastAsia="MS Mincho" w:hAnsi="Trebuchet MS"/>
          <w:b w:val="0"/>
          <w:bCs w:val="0"/>
          <w:kern w:val="0"/>
          <w:sz w:val="22"/>
          <w:szCs w:val="22"/>
          <w:lang w:val="ro-RO"/>
        </w:rPr>
        <w:t>, î</w:t>
      </w:r>
      <w:r w:rsidR="00843DAA" w:rsidRPr="00CD48F9">
        <w:rPr>
          <w:rFonts w:ascii="Trebuchet MS" w:eastAsia="MS Mincho" w:hAnsi="Trebuchet MS"/>
          <w:b w:val="0"/>
          <w:bCs w:val="0"/>
          <w:kern w:val="0"/>
          <w:sz w:val="22"/>
          <w:szCs w:val="22"/>
          <w:lang w:val="ro-RO"/>
        </w:rPr>
        <w:t>n anul 2019</w:t>
      </w:r>
      <w:r w:rsidR="002E6F0C" w:rsidRPr="00CD48F9">
        <w:rPr>
          <w:rFonts w:ascii="Trebuchet MS" w:eastAsia="MS Mincho" w:hAnsi="Trebuchet MS"/>
          <w:b w:val="0"/>
          <w:bCs w:val="0"/>
          <w:kern w:val="0"/>
          <w:sz w:val="22"/>
          <w:szCs w:val="22"/>
          <w:lang w:val="ro-RO"/>
        </w:rPr>
        <w:t>, repre</w:t>
      </w:r>
      <w:r w:rsidR="00A97BE5" w:rsidRPr="00CD48F9">
        <w:rPr>
          <w:rFonts w:ascii="Trebuchet MS" w:eastAsia="MS Mincho" w:hAnsi="Trebuchet MS"/>
          <w:b w:val="0"/>
          <w:bCs w:val="0"/>
          <w:kern w:val="0"/>
          <w:sz w:val="22"/>
          <w:szCs w:val="22"/>
          <w:lang w:val="ro-RO"/>
        </w:rPr>
        <w:t>zentanții ANABI au identificat ș</w:t>
      </w:r>
      <w:r w:rsidR="00843DAA" w:rsidRPr="00CD48F9">
        <w:rPr>
          <w:rFonts w:ascii="Trebuchet MS" w:eastAsia="MS Mincho" w:hAnsi="Trebuchet MS"/>
          <w:b w:val="0"/>
          <w:bCs w:val="0"/>
          <w:kern w:val="0"/>
          <w:sz w:val="22"/>
          <w:szCs w:val="22"/>
          <w:lang w:val="ro-RO"/>
        </w:rPr>
        <w:t>i diseminat spețe</w:t>
      </w:r>
      <w:r w:rsidR="00A97BE5" w:rsidRPr="00CD48F9">
        <w:rPr>
          <w:rFonts w:ascii="Trebuchet MS" w:eastAsia="MS Mincho" w:hAnsi="Trebuchet MS"/>
          <w:b w:val="0"/>
          <w:bCs w:val="0"/>
          <w:kern w:val="0"/>
          <w:sz w:val="22"/>
          <w:szCs w:val="22"/>
          <w:lang w:val="ro-RO"/>
        </w:rPr>
        <w:t xml:space="preserve"> privind măsurile asigura</w:t>
      </w:r>
      <w:r w:rsidR="002E6F0C" w:rsidRPr="00CD48F9">
        <w:rPr>
          <w:rFonts w:ascii="Trebuchet MS" w:eastAsia="MS Mincho" w:hAnsi="Trebuchet MS"/>
          <w:b w:val="0"/>
          <w:bCs w:val="0"/>
          <w:kern w:val="0"/>
          <w:sz w:val="22"/>
          <w:szCs w:val="22"/>
          <w:lang w:val="ro-RO"/>
        </w:rPr>
        <w:t>torii, rolul ANABI și mecanismele de cooperare internă și internaț</w:t>
      </w:r>
      <w:r w:rsidR="00843DAA" w:rsidRPr="00CD48F9">
        <w:rPr>
          <w:rFonts w:ascii="Trebuchet MS" w:eastAsia="MS Mincho" w:hAnsi="Trebuchet MS"/>
          <w:b w:val="0"/>
          <w:bCs w:val="0"/>
          <w:kern w:val="0"/>
          <w:sz w:val="22"/>
          <w:szCs w:val="22"/>
          <w:lang w:val="ro-RO"/>
        </w:rPr>
        <w:t>ională, unui număr de peste 225</w:t>
      </w:r>
      <w:r w:rsidR="002E6F0C" w:rsidRPr="00CD48F9">
        <w:rPr>
          <w:rFonts w:ascii="Trebuchet MS" w:eastAsia="MS Mincho" w:hAnsi="Trebuchet MS"/>
          <w:b w:val="0"/>
          <w:bCs w:val="0"/>
          <w:kern w:val="0"/>
          <w:sz w:val="22"/>
          <w:szCs w:val="22"/>
          <w:lang w:val="ro-RO"/>
        </w:rPr>
        <w:t xml:space="preserve"> </w:t>
      </w:r>
      <w:r w:rsidR="00843DAA" w:rsidRPr="00CD48F9">
        <w:rPr>
          <w:rFonts w:ascii="Trebuchet MS" w:eastAsia="MS Mincho" w:hAnsi="Trebuchet MS"/>
          <w:b w:val="0"/>
          <w:bCs w:val="0"/>
          <w:kern w:val="0"/>
          <w:sz w:val="22"/>
          <w:szCs w:val="22"/>
          <w:lang w:val="ro-RO"/>
        </w:rPr>
        <w:t>de procurori,</w:t>
      </w:r>
      <w:r w:rsidR="00346513" w:rsidRPr="00CD48F9">
        <w:rPr>
          <w:rFonts w:ascii="Trebuchet MS" w:eastAsia="MS Mincho" w:hAnsi="Trebuchet MS"/>
          <w:b w:val="0"/>
          <w:bCs w:val="0"/>
          <w:kern w:val="0"/>
          <w:sz w:val="22"/>
          <w:szCs w:val="22"/>
          <w:lang w:val="ro-RO"/>
        </w:rPr>
        <w:t xml:space="preserve"> polițiști</w:t>
      </w:r>
      <w:r w:rsidR="00843DAA" w:rsidRPr="00CD48F9">
        <w:rPr>
          <w:rFonts w:ascii="Trebuchet MS" w:eastAsia="MS Mincho" w:hAnsi="Trebuchet MS"/>
          <w:b w:val="0"/>
          <w:bCs w:val="0"/>
          <w:kern w:val="0"/>
          <w:sz w:val="22"/>
          <w:szCs w:val="22"/>
          <w:lang w:val="ro-RO"/>
        </w:rPr>
        <w:t xml:space="preserve"> și specialiști antifraudă</w:t>
      </w:r>
      <w:r w:rsidR="00346513" w:rsidRPr="00CD48F9">
        <w:rPr>
          <w:rFonts w:ascii="Trebuchet MS" w:eastAsia="MS Mincho" w:hAnsi="Trebuchet MS"/>
          <w:b w:val="0"/>
          <w:bCs w:val="0"/>
          <w:kern w:val="0"/>
          <w:sz w:val="22"/>
          <w:szCs w:val="22"/>
          <w:lang w:val="ro-RO"/>
        </w:rPr>
        <w:t>.</w:t>
      </w:r>
    </w:p>
    <w:p w:rsidR="00346513" w:rsidRPr="00CD48F9" w:rsidRDefault="00346513" w:rsidP="00972E3A">
      <w:pPr>
        <w:spacing w:after="120" w:line="276" w:lineRule="auto"/>
        <w:rPr>
          <w:lang w:val="ro-RO"/>
        </w:rPr>
      </w:pPr>
      <w:r w:rsidRPr="00CD48F9">
        <w:rPr>
          <w:lang w:val="ro-RO"/>
        </w:rPr>
        <w:t xml:space="preserve">De asemenea, a fost elaborată </w:t>
      </w:r>
      <w:proofErr w:type="spellStart"/>
      <w:r w:rsidRPr="00CD48F9">
        <w:rPr>
          <w:lang w:val="ro-RO"/>
        </w:rPr>
        <w:t>şi</w:t>
      </w:r>
      <w:proofErr w:type="spellEnd"/>
      <w:r w:rsidRPr="00CD48F9">
        <w:rPr>
          <w:lang w:val="ro-RO"/>
        </w:rPr>
        <w:t xml:space="preserve"> diseminată</w:t>
      </w:r>
      <w:r w:rsidR="002E6F0C" w:rsidRPr="00CD48F9">
        <w:rPr>
          <w:lang w:val="ro-RO"/>
        </w:rPr>
        <w:t xml:space="preserve"> </w:t>
      </w:r>
      <w:r w:rsidRPr="00CD48F9">
        <w:rPr>
          <w:lang w:val="ro-RO"/>
        </w:rPr>
        <w:t>o</w:t>
      </w:r>
      <w:r w:rsidR="002E6F0C" w:rsidRPr="00CD48F9">
        <w:rPr>
          <w:lang w:val="ro-RO"/>
        </w:rPr>
        <w:t xml:space="preserve"> instrucțiune privind utilizarea contului unic ANABI</w:t>
      </w:r>
      <w:r w:rsidRPr="00CD48F9">
        <w:rPr>
          <w:lang w:val="ro-RO"/>
        </w:rPr>
        <w:t>,</w:t>
      </w:r>
      <w:r w:rsidR="00A97BE5" w:rsidRPr="00CD48F9">
        <w:rPr>
          <w:lang w:val="ro-RO"/>
        </w:rPr>
        <w:t xml:space="preserve"> pentru măsurile asigura</w:t>
      </w:r>
      <w:r w:rsidR="002E6F0C" w:rsidRPr="00CD48F9">
        <w:rPr>
          <w:lang w:val="ro-RO"/>
        </w:rPr>
        <w:t>torii privind sumele de bani</w:t>
      </w:r>
      <w:r w:rsidRPr="00CD48F9">
        <w:rPr>
          <w:lang w:val="ro-RO"/>
        </w:rPr>
        <w:t>.</w:t>
      </w:r>
      <w:r w:rsidR="002E6F0C" w:rsidRPr="00CD48F9">
        <w:rPr>
          <w:lang w:val="ro-RO"/>
        </w:rPr>
        <w:t xml:space="preserve"> </w:t>
      </w:r>
    </w:p>
    <w:p w:rsidR="002E6F0C" w:rsidRPr="00CD48F9" w:rsidRDefault="00346513" w:rsidP="00972E3A">
      <w:pPr>
        <w:spacing w:after="120" w:line="276" w:lineRule="auto"/>
        <w:rPr>
          <w:lang w:val="ro-RO"/>
        </w:rPr>
      </w:pPr>
      <w:r w:rsidRPr="00CD48F9">
        <w:rPr>
          <w:lang w:val="ro-RO"/>
        </w:rPr>
        <w:t xml:space="preserve">Prin intermediul proiectului POCA implementat de ANABI, urmează a fi elaborată </w:t>
      </w:r>
      <w:proofErr w:type="spellStart"/>
      <w:r w:rsidRPr="00CD48F9">
        <w:rPr>
          <w:lang w:val="ro-RO"/>
        </w:rPr>
        <w:t>şi</w:t>
      </w:r>
      <w:proofErr w:type="spellEnd"/>
      <w:r w:rsidRPr="00CD48F9">
        <w:rPr>
          <w:lang w:val="ro-RO"/>
        </w:rPr>
        <w:t xml:space="preserve"> diseminată, semestrial, în rândul practicienilor, o </w:t>
      </w:r>
      <w:proofErr w:type="spellStart"/>
      <w:r w:rsidRPr="00CD48F9">
        <w:rPr>
          <w:lang w:val="ro-RO"/>
        </w:rPr>
        <w:t>publicaţie</w:t>
      </w:r>
      <w:proofErr w:type="spellEnd"/>
      <w:r w:rsidR="002E6F0C" w:rsidRPr="00CD48F9">
        <w:rPr>
          <w:lang w:val="ro-RO"/>
        </w:rPr>
        <w:t xml:space="preserve"> de tip </w:t>
      </w:r>
      <w:r w:rsidRPr="00CD48F9">
        <w:rPr>
          <w:lang w:val="ro-RO"/>
        </w:rPr>
        <w:t>buletin informativ care să cuprindă</w:t>
      </w:r>
      <w:r w:rsidR="002E6F0C" w:rsidRPr="00CD48F9">
        <w:rPr>
          <w:lang w:val="ro-RO"/>
        </w:rPr>
        <w:t xml:space="preserve"> cazuri practice, </w:t>
      </w:r>
      <w:proofErr w:type="spellStart"/>
      <w:r w:rsidR="002E6F0C" w:rsidRPr="00CD48F9">
        <w:rPr>
          <w:lang w:val="ro-RO"/>
        </w:rPr>
        <w:t>jurisprudenţă</w:t>
      </w:r>
      <w:proofErr w:type="spellEnd"/>
      <w:r w:rsidR="002E6F0C" w:rsidRPr="00CD48F9">
        <w:rPr>
          <w:lang w:val="ro-RO"/>
        </w:rPr>
        <w:t>.</w:t>
      </w:r>
    </w:p>
    <w:p w:rsidR="00843DAA" w:rsidRPr="00CD48F9" w:rsidRDefault="00843DAA" w:rsidP="00972E3A">
      <w:pPr>
        <w:spacing w:after="120" w:line="276" w:lineRule="auto"/>
        <w:rPr>
          <w:lang w:val="ro-RO"/>
        </w:rPr>
      </w:pPr>
      <w:r w:rsidRPr="00CD48F9">
        <w:rPr>
          <w:lang w:val="ro-RO"/>
        </w:rPr>
        <w:t>În anul 2019, ANABI a organizat 5 conferințe regionale, evenimente la care au participat reprezentanți ai Parchetului de pe lângă Înalta Curte de Casație și Justiție și ai Direcției de Investigare a Criminalității Economice – Inspectoratul General al Poliției Române, reunind peste 225 de participanți (</w:t>
      </w:r>
      <w:r w:rsidR="00CC38F7" w:rsidRPr="00CD48F9">
        <w:rPr>
          <w:lang w:val="ro-RO"/>
        </w:rPr>
        <w:t>procurori, ofițeri de poliție judiciară și specialiști antifraudă din circumscripția Parchetelor de pe lângă Curțile de Apel București, Ploiești, Bacău, Constanța, Galați, Cluj, Iași, Suceava, Oradea, Timișoara, Craiova, Pitești, Târgu-Mureș, Alba-Iulia</w:t>
      </w:r>
      <w:r w:rsidRPr="00CD48F9">
        <w:rPr>
          <w:lang w:val="ro-RO"/>
        </w:rPr>
        <w:t>).</w:t>
      </w:r>
    </w:p>
    <w:p w:rsidR="00296A30" w:rsidRPr="00CD48F9" w:rsidRDefault="00296A30" w:rsidP="00972E3A">
      <w:pPr>
        <w:tabs>
          <w:tab w:val="left" w:pos="10620"/>
        </w:tabs>
        <w:spacing w:after="120" w:line="276" w:lineRule="auto"/>
        <w:rPr>
          <w:b/>
          <w:lang w:val="ro-RO"/>
        </w:rPr>
      </w:pPr>
      <w:r w:rsidRPr="00CD48F9">
        <w:rPr>
          <w:b/>
          <w:lang w:val="ro-RO"/>
        </w:rPr>
        <w:t>8. Coordonarea monitorizării SNA 2016-2020 (Obiectiv general 6)</w:t>
      </w:r>
      <w:r w:rsidR="00B85F62" w:rsidRPr="00CD48F9">
        <w:rPr>
          <w:b/>
          <w:lang w:val="ro-RO"/>
        </w:rPr>
        <w:t xml:space="preserve"> </w:t>
      </w:r>
    </w:p>
    <w:p w:rsidR="003D0A5F" w:rsidRPr="00CD48F9" w:rsidRDefault="00B85F62" w:rsidP="00972E3A">
      <w:pPr>
        <w:spacing w:after="120" w:line="276" w:lineRule="auto"/>
        <w:rPr>
          <w:lang w:val="ro-RO"/>
        </w:rPr>
      </w:pPr>
      <w:r w:rsidRPr="00CD48F9">
        <w:rPr>
          <w:lang w:val="ro-RO"/>
        </w:rPr>
        <w:t xml:space="preserve">Măsurile obiectivului 6 </w:t>
      </w:r>
      <w:r w:rsidR="00843DAA" w:rsidRPr="00CD48F9">
        <w:rPr>
          <w:lang w:val="ro-RO"/>
        </w:rPr>
        <w:t xml:space="preserve">sunt </w:t>
      </w:r>
      <w:r w:rsidR="00296A30" w:rsidRPr="00CD48F9">
        <w:rPr>
          <w:lang w:val="ro-RO"/>
        </w:rPr>
        <w:t>implementate prin programul POCA „</w:t>
      </w:r>
      <w:r w:rsidR="00296A30" w:rsidRPr="00CD48F9">
        <w:rPr>
          <w:i/>
          <w:lang w:val="ro-RO"/>
        </w:rPr>
        <w:t>Consolidarea capacității administrative a secretariatului tehnic al Strategiei Naționale Anticorupție 2016-2020 de a sprijini implementarea măsurilor anticorupție</w:t>
      </w:r>
      <w:r w:rsidR="00296A30" w:rsidRPr="00CD48F9">
        <w:rPr>
          <w:lang w:val="ro-RO"/>
        </w:rPr>
        <w:t>”</w:t>
      </w:r>
      <w:r w:rsidR="003D0A5F" w:rsidRPr="00CD48F9">
        <w:rPr>
          <w:lang w:val="ro-RO"/>
        </w:rPr>
        <w:t>:</w:t>
      </w:r>
    </w:p>
    <w:p w:rsidR="00AD229B" w:rsidRPr="00CD48F9" w:rsidRDefault="00E82535">
      <w:pPr>
        <w:pStyle w:val="ListParagraph"/>
        <w:numPr>
          <w:ilvl w:val="0"/>
          <w:numId w:val="20"/>
        </w:numPr>
        <w:tabs>
          <w:tab w:val="left" w:pos="426"/>
        </w:tabs>
        <w:spacing w:after="120" w:line="276" w:lineRule="auto"/>
        <w:rPr>
          <w:color w:val="FF0000"/>
          <w:lang w:val="ro-RO"/>
        </w:rPr>
      </w:pPr>
      <w:r w:rsidRPr="00CD48F9">
        <w:rPr>
          <w:lang w:val="ro-RO"/>
        </w:rPr>
        <w:t xml:space="preserve">Generarea unui scor de index al </w:t>
      </w:r>
      <w:proofErr w:type="spellStart"/>
      <w:r w:rsidRPr="00CD48F9">
        <w:rPr>
          <w:lang w:val="ro-RO"/>
        </w:rPr>
        <w:t>integrităţii</w:t>
      </w:r>
      <w:proofErr w:type="spellEnd"/>
      <w:r w:rsidRPr="00CD48F9">
        <w:rPr>
          <w:lang w:val="ro-RO"/>
        </w:rPr>
        <w:t xml:space="preserve"> </w:t>
      </w:r>
      <w:proofErr w:type="spellStart"/>
      <w:r w:rsidRPr="00CD48F9">
        <w:rPr>
          <w:lang w:val="ro-RO"/>
        </w:rPr>
        <w:t>instituţionale</w:t>
      </w:r>
      <w:proofErr w:type="spellEnd"/>
      <w:r w:rsidRPr="00CD48F9">
        <w:rPr>
          <w:lang w:val="ro-RO"/>
        </w:rPr>
        <w:t xml:space="preserve"> pentru sectoarele vulnerabile identificate în strategie (activitate </w:t>
      </w:r>
      <w:proofErr w:type="spellStart"/>
      <w:r w:rsidRPr="00CD48F9">
        <w:rPr>
          <w:lang w:val="ro-RO"/>
        </w:rPr>
        <w:t>pezentată</w:t>
      </w:r>
      <w:proofErr w:type="spellEnd"/>
      <w:r w:rsidRPr="00CD48F9">
        <w:rPr>
          <w:lang w:val="ro-RO"/>
        </w:rPr>
        <w:t xml:space="preserve"> la secțiunea 2.3.4</w:t>
      </w:r>
      <w:r w:rsidR="00CF459C" w:rsidRPr="00CD48F9">
        <w:rPr>
          <w:lang w:val="ro-RO"/>
        </w:rPr>
        <w:t>.</w:t>
      </w:r>
      <w:r w:rsidRPr="00CD48F9">
        <w:rPr>
          <w:lang w:val="ro-RO"/>
        </w:rPr>
        <w:t xml:space="preserve"> din raport)</w:t>
      </w:r>
      <w:r w:rsidR="00861C25" w:rsidRPr="00CD48F9">
        <w:rPr>
          <w:lang w:val="ro-RO"/>
        </w:rPr>
        <w:t>;</w:t>
      </w:r>
      <w:r w:rsidR="002025F8" w:rsidRPr="00CD48F9">
        <w:rPr>
          <w:lang w:val="ro-RO"/>
        </w:rPr>
        <w:t xml:space="preserve"> </w:t>
      </w:r>
    </w:p>
    <w:p w:rsidR="00AD229B" w:rsidRPr="00CD48F9" w:rsidRDefault="00E82535">
      <w:pPr>
        <w:pStyle w:val="ListParagraph"/>
        <w:numPr>
          <w:ilvl w:val="0"/>
          <w:numId w:val="20"/>
        </w:numPr>
        <w:tabs>
          <w:tab w:val="left" w:pos="426"/>
        </w:tabs>
        <w:spacing w:after="120" w:line="276" w:lineRule="auto"/>
        <w:rPr>
          <w:lang w:val="ro-RO"/>
        </w:rPr>
      </w:pPr>
      <w:proofErr w:type="spellStart"/>
      <w:r w:rsidRPr="00CD48F9">
        <w:rPr>
          <w:rFonts w:cs="Arial"/>
        </w:rPr>
        <w:t>Organizarea</w:t>
      </w:r>
      <w:proofErr w:type="spellEnd"/>
      <w:r w:rsidRPr="00CD48F9">
        <w:rPr>
          <w:rFonts w:cs="Arial"/>
        </w:rPr>
        <w:t xml:space="preserve"> </w:t>
      </w:r>
      <w:proofErr w:type="spellStart"/>
      <w:r w:rsidRPr="00CD48F9">
        <w:rPr>
          <w:rFonts w:cs="Arial"/>
        </w:rPr>
        <w:t>şi</w:t>
      </w:r>
      <w:proofErr w:type="spellEnd"/>
      <w:r w:rsidRPr="00CD48F9">
        <w:rPr>
          <w:rFonts w:cs="Arial"/>
        </w:rPr>
        <w:t xml:space="preserve"> </w:t>
      </w:r>
      <w:proofErr w:type="spellStart"/>
      <w:r w:rsidRPr="00CD48F9">
        <w:rPr>
          <w:rFonts w:cs="Arial"/>
        </w:rPr>
        <w:t>derularea</w:t>
      </w:r>
      <w:proofErr w:type="spellEnd"/>
      <w:r w:rsidRPr="00CD48F9">
        <w:rPr>
          <w:rFonts w:cs="Arial"/>
        </w:rPr>
        <w:t xml:space="preserve"> a 20 de </w:t>
      </w:r>
      <w:proofErr w:type="spellStart"/>
      <w:r w:rsidRPr="00CD48F9">
        <w:rPr>
          <w:rFonts w:cs="Arial"/>
        </w:rPr>
        <w:t>misiuni</w:t>
      </w:r>
      <w:proofErr w:type="spellEnd"/>
      <w:r w:rsidRPr="00CD48F9">
        <w:rPr>
          <w:rFonts w:cs="Arial"/>
        </w:rPr>
        <w:t xml:space="preserve"> de tip “</w:t>
      </w:r>
      <w:r w:rsidRPr="00CD48F9">
        <w:rPr>
          <w:rFonts w:cs="Arial"/>
          <w:i/>
        </w:rPr>
        <w:t>peer review</w:t>
      </w:r>
      <w:r w:rsidRPr="00CD48F9">
        <w:rPr>
          <w:rFonts w:cs="Arial"/>
        </w:rPr>
        <w:t>”</w:t>
      </w:r>
      <w:r w:rsidR="00861C25" w:rsidRPr="00CD48F9">
        <w:rPr>
          <w:lang w:val="ro-RO"/>
        </w:rPr>
        <w:t xml:space="preserve"> </w:t>
      </w:r>
      <w:r w:rsidRPr="00CD48F9">
        <w:rPr>
          <w:lang w:val="ro-RO"/>
        </w:rPr>
        <w:t>(activitate prezentată</w:t>
      </w:r>
      <w:r w:rsidR="00861C25" w:rsidRPr="00CD48F9">
        <w:rPr>
          <w:lang w:val="ro-RO"/>
        </w:rPr>
        <w:t xml:space="preserve"> la secțiunea 2.3.3. din raport</w:t>
      </w:r>
      <w:r w:rsidRPr="00CD48F9">
        <w:rPr>
          <w:lang w:val="ro-RO"/>
        </w:rPr>
        <w:t>)</w:t>
      </w:r>
      <w:r w:rsidR="00F16875" w:rsidRPr="00CD48F9">
        <w:rPr>
          <w:lang w:val="ro-RO"/>
        </w:rPr>
        <w:t>;</w:t>
      </w:r>
    </w:p>
    <w:p w:rsidR="00AD229B" w:rsidRPr="00CD48F9" w:rsidRDefault="002025F8">
      <w:pPr>
        <w:pStyle w:val="ListParagraph"/>
        <w:numPr>
          <w:ilvl w:val="0"/>
          <w:numId w:val="20"/>
        </w:numPr>
        <w:tabs>
          <w:tab w:val="left" w:pos="426"/>
        </w:tabs>
        <w:spacing w:after="120" w:line="276" w:lineRule="auto"/>
        <w:rPr>
          <w:lang w:val="ro-RO"/>
        </w:rPr>
      </w:pPr>
      <w:r w:rsidRPr="00CD48F9">
        <w:rPr>
          <w:lang w:val="ro-RO"/>
        </w:rPr>
        <w:lastRenderedPageBreak/>
        <w:t>R</w:t>
      </w:r>
      <w:r w:rsidR="00843DAA" w:rsidRPr="00CD48F9">
        <w:rPr>
          <w:lang w:val="ro-RO"/>
        </w:rPr>
        <w:t>ealizarea unui studiu criminologic și a unei</w:t>
      </w:r>
      <w:r w:rsidR="003D0A5F" w:rsidRPr="00CD48F9">
        <w:rPr>
          <w:lang w:val="ro-RO"/>
        </w:rPr>
        <w:t xml:space="preserve"> cercetări sociologice cu privire la fenomenul de corupție</w:t>
      </w:r>
      <w:r w:rsidR="00E82535" w:rsidRPr="00CD48F9">
        <w:rPr>
          <w:lang w:val="ro-RO"/>
        </w:rPr>
        <w:t xml:space="preserve"> (activitate </w:t>
      </w:r>
      <w:proofErr w:type="spellStart"/>
      <w:r w:rsidR="00E82535" w:rsidRPr="00CD48F9">
        <w:rPr>
          <w:lang w:val="ro-RO"/>
        </w:rPr>
        <w:t>pezentată</w:t>
      </w:r>
      <w:proofErr w:type="spellEnd"/>
      <w:r w:rsidR="00E82535" w:rsidRPr="00CD48F9">
        <w:rPr>
          <w:lang w:val="ro-RO"/>
        </w:rPr>
        <w:t xml:space="preserve"> la secțiunea 2.3.4</w:t>
      </w:r>
      <w:r w:rsidR="00CF459C" w:rsidRPr="00CD48F9">
        <w:rPr>
          <w:lang w:val="ro-RO"/>
        </w:rPr>
        <w:t>.</w:t>
      </w:r>
      <w:r w:rsidR="00E82535" w:rsidRPr="00CD48F9">
        <w:rPr>
          <w:lang w:val="ro-RO"/>
        </w:rPr>
        <w:t xml:space="preserve"> din raport).</w:t>
      </w:r>
    </w:p>
    <w:p w:rsidR="00F02BE9" w:rsidRPr="00CD48F9" w:rsidRDefault="00230A2D" w:rsidP="00972E3A">
      <w:pPr>
        <w:pStyle w:val="Title"/>
        <w:spacing w:before="0" w:after="120" w:line="276" w:lineRule="auto"/>
        <w:jc w:val="both"/>
        <w:rPr>
          <w:rFonts w:ascii="Trebuchet MS" w:eastAsia="MS Mincho" w:hAnsi="Trebuchet MS"/>
          <w:bCs w:val="0"/>
          <w:kern w:val="0"/>
          <w:sz w:val="22"/>
          <w:szCs w:val="22"/>
          <w:lang w:val="ro-RO"/>
        </w:rPr>
      </w:pPr>
      <w:bookmarkStart w:id="33" w:name="_Toc3376534"/>
      <w:r w:rsidRPr="00CD48F9">
        <w:rPr>
          <w:rFonts w:ascii="Trebuchet MS" w:hAnsi="Trebuchet MS"/>
          <w:sz w:val="22"/>
          <w:szCs w:val="22"/>
          <w:lang w:val="ro-RO"/>
        </w:rPr>
        <w:t>9</w:t>
      </w:r>
      <w:r w:rsidR="00660132" w:rsidRPr="00CD48F9">
        <w:rPr>
          <w:rFonts w:ascii="Trebuchet MS" w:hAnsi="Trebuchet MS"/>
          <w:sz w:val="22"/>
          <w:szCs w:val="22"/>
          <w:lang w:val="ro-RO"/>
        </w:rPr>
        <w:t xml:space="preserve">. </w:t>
      </w:r>
      <w:r w:rsidR="00F02BE9" w:rsidRPr="00CD48F9">
        <w:rPr>
          <w:rFonts w:ascii="Trebuchet MS" w:eastAsia="MS Mincho" w:hAnsi="Trebuchet MS"/>
          <w:bCs w:val="0"/>
          <w:kern w:val="0"/>
          <w:sz w:val="22"/>
          <w:szCs w:val="22"/>
          <w:lang w:val="ro-RO"/>
        </w:rPr>
        <w:t>Situația incidentelor de i</w:t>
      </w:r>
      <w:r w:rsidR="00B56126" w:rsidRPr="00CD48F9">
        <w:rPr>
          <w:rFonts w:ascii="Trebuchet MS" w:eastAsia="MS Mincho" w:hAnsi="Trebuchet MS"/>
          <w:bCs w:val="0"/>
          <w:kern w:val="0"/>
          <w:sz w:val="22"/>
          <w:szCs w:val="22"/>
          <w:lang w:val="ro-RO"/>
        </w:rPr>
        <w:t>ntegritate pentru anul 2019</w:t>
      </w:r>
      <w:r w:rsidR="00F02BE9" w:rsidRPr="00CD48F9">
        <w:rPr>
          <w:rFonts w:ascii="Trebuchet MS" w:eastAsia="MS Mincho" w:hAnsi="Trebuchet MS"/>
          <w:bCs w:val="0"/>
          <w:kern w:val="0"/>
          <w:sz w:val="22"/>
          <w:szCs w:val="22"/>
          <w:lang w:val="ro-RO"/>
        </w:rPr>
        <w:t xml:space="preserve"> și măsurile adoptate pentru remedierea aspectelor care au favorizat producerea incidentului</w:t>
      </w:r>
      <w:bookmarkEnd w:id="33"/>
    </w:p>
    <w:p w:rsidR="00C01F2C" w:rsidRPr="00CD48F9" w:rsidRDefault="00D840D0" w:rsidP="00E83574">
      <w:pPr>
        <w:spacing w:after="120" w:line="276" w:lineRule="auto"/>
        <w:rPr>
          <w:lang w:val="ro-RO"/>
        </w:rPr>
      </w:pPr>
      <w:r w:rsidRPr="00CD48F9">
        <w:rPr>
          <w:lang w:val="ro-RO"/>
        </w:rPr>
        <w:t xml:space="preserve">În cursul anului 2019, la nivelul MJ și </w:t>
      </w:r>
      <w:r w:rsidR="00B56126" w:rsidRPr="00CD48F9">
        <w:rPr>
          <w:lang w:val="ro-RO"/>
        </w:rPr>
        <w:t xml:space="preserve">al </w:t>
      </w:r>
      <w:r w:rsidRPr="00CD48F9">
        <w:rPr>
          <w:lang w:val="ro-RO"/>
        </w:rPr>
        <w:t>instituții</w:t>
      </w:r>
      <w:r w:rsidR="00B56126" w:rsidRPr="00CD48F9">
        <w:rPr>
          <w:lang w:val="ro-RO"/>
        </w:rPr>
        <w:t>lor</w:t>
      </w:r>
      <w:r w:rsidRPr="00CD48F9">
        <w:rPr>
          <w:lang w:val="ro-RO"/>
        </w:rPr>
        <w:t xml:space="preserve"> subordonate nu au fost înregistrate incidente de integritate. </w:t>
      </w:r>
    </w:p>
    <w:p w:rsidR="00F16875" w:rsidRPr="00CD48F9" w:rsidRDefault="00411382" w:rsidP="00972E3A">
      <w:pPr>
        <w:pStyle w:val="Title"/>
        <w:spacing w:before="0" w:after="120" w:line="276" w:lineRule="auto"/>
        <w:jc w:val="both"/>
        <w:rPr>
          <w:rFonts w:ascii="Trebuchet MS" w:hAnsi="Trebuchet MS"/>
          <w:sz w:val="22"/>
          <w:szCs w:val="22"/>
          <w:lang w:val="ro-RO"/>
        </w:rPr>
      </w:pPr>
      <w:bookmarkStart w:id="34" w:name="_Toc3376535"/>
      <w:r w:rsidRPr="00CD48F9">
        <w:rPr>
          <w:rFonts w:ascii="Trebuchet MS" w:hAnsi="Trebuchet MS"/>
          <w:sz w:val="22"/>
          <w:szCs w:val="22"/>
          <w:lang w:val="ro-RO"/>
        </w:rPr>
        <w:t>10. Implementarea, în anul 2019</w:t>
      </w:r>
      <w:r w:rsidR="00F16875" w:rsidRPr="00CD48F9">
        <w:rPr>
          <w:rFonts w:ascii="Trebuchet MS" w:hAnsi="Trebuchet MS"/>
          <w:sz w:val="22"/>
          <w:szCs w:val="22"/>
          <w:lang w:val="ro-RO"/>
        </w:rPr>
        <w:t>, a măsurilor prevăzute în planurile de integritat</w:t>
      </w:r>
      <w:r w:rsidR="00EA4400" w:rsidRPr="00CD48F9">
        <w:rPr>
          <w:rFonts w:ascii="Trebuchet MS" w:hAnsi="Trebuchet MS"/>
          <w:sz w:val="22"/>
          <w:szCs w:val="22"/>
          <w:lang w:val="ro-RO"/>
        </w:rPr>
        <w:t>e</w:t>
      </w:r>
      <w:r w:rsidR="00EB659F" w:rsidRPr="00CD48F9">
        <w:rPr>
          <w:rFonts w:ascii="Trebuchet MS" w:hAnsi="Trebuchet MS"/>
          <w:sz w:val="22"/>
          <w:szCs w:val="22"/>
          <w:lang w:val="ro-RO"/>
        </w:rPr>
        <w:t>,</w:t>
      </w:r>
      <w:r w:rsidR="00EA4400" w:rsidRPr="00CD48F9">
        <w:rPr>
          <w:rFonts w:ascii="Trebuchet MS" w:hAnsi="Trebuchet MS"/>
          <w:sz w:val="22"/>
          <w:szCs w:val="22"/>
          <w:lang w:val="ro-RO"/>
        </w:rPr>
        <w:t xml:space="preserve"> proprii, ale structurilor subordonate Ministerului J</w:t>
      </w:r>
      <w:r w:rsidR="00F16875" w:rsidRPr="00CD48F9">
        <w:rPr>
          <w:rFonts w:ascii="Trebuchet MS" w:hAnsi="Trebuchet MS"/>
          <w:sz w:val="22"/>
          <w:szCs w:val="22"/>
          <w:lang w:val="ro-RO"/>
        </w:rPr>
        <w:t>ustiției</w:t>
      </w:r>
      <w:bookmarkEnd w:id="34"/>
      <w:r w:rsidR="00F16875" w:rsidRPr="00CD48F9">
        <w:rPr>
          <w:rFonts w:ascii="Trebuchet MS" w:hAnsi="Trebuchet MS"/>
          <w:sz w:val="22"/>
          <w:szCs w:val="22"/>
          <w:lang w:val="ro-RO"/>
        </w:rPr>
        <w:t xml:space="preserve"> </w:t>
      </w: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Administrația Națională a Penitenciarelor</w:t>
      </w:r>
    </w:p>
    <w:p w:rsidR="00EF5187" w:rsidRPr="00CD48F9" w:rsidRDefault="00C94EA6" w:rsidP="00972E3A">
      <w:pPr>
        <w:spacing w:after="120" w:line="276" w:lineRule="auto"/>
        <w:rPr>
          <w:lang w:val="ro-RO"/>
        </w:rPr>
      </w:pPr>
      <w:r w:rsidRPr="00CD48F9">
        <w:rPr>
          <w:lang w:val="ro-RO"/>
        </w:rPr>
        <w:t>În vederea</w:t>
      </w:r>
      <w:r w:rsidR="00EF5187" w:rsidRPr="00CD48F9">
        <w:rPr>
          <w:lang w:val="ro-RO"/>
        </w:rPr>
        <w:t xml:space="preserve"> implement</w:t>
      </w:r>
      <w:r w:rsidRPr="00CD48F9">
        <w:rPr>
          <w:lang w:val="ro-RO"/>
        </w:rPr>
        <w:t>ă</w:t>
      </w:r>
      <w:r w:rsidR="00EF5187" w:rsidRPr="00CD48F9">
        <w:rPr>
          <w:lang w:val="ro-RO"/>
        </w:rPr>
        <w:t>r</w:t>
      </w:r>
      <w:r w:rsidRPr="00CD48F9">
        <w:rPr>
          <w:lang w:val="ro-RO"/>
        </w:rPr>
        <w:t>ii</w:t>
      </w:r>
      <w:r w:rsidR="00EF5187" w:rsidRPr="00CD48F9">
        <w:rPr>
          <w:lang w:val="ro-RO"/>
        </w:rPr>
        <w:t xml:space="preserve"> Planului de integritate al Administrației Naționale a Penitenciarelor, aprobat prin Decizia Directorului G</w:t>
      </w:r>
      <w:r w:rsidR="006B2FD0" w:rsidRPr="00CD48F9">
        <w:rPr>
          <w:lang w:val="ro-RO"/>
        </w:rPr>
        <w:t>eneral al ANP nr.746/21.12.2018,</w:t>
      </w:r>
      <w:r w:rsidR="00EF5187" w:rsidRPr="00CD48F9">
        <w:rPr>
          <w:lang w:val="ro-RO"/>
        </w:rPr>
        <w:t xml:space="preserve"> în cursul anului 2019, </w:t>
      </w:r>
      <w:r w:rsidRPr="00CD48F9">
        <w:rPr>
          <w:lang w:val="ro-RO"/>
        </w:rPr>
        <w:t>au fost derulate următ</w:t>
      </w:r>
      <w:r w:rsidR="00384705" w:rsidRPr="00CD48F9">
        <w:rPr>
          <w:lang w:val="ro-RO"/>
        </w:rPr>
        <w:t>oarele activități</w:t>
      </w:r>
      <w:r w:rsidR="00EF5187" w:rsidRPr="00CD48F9">
        <w:rPr>
          <w:lang w:val="ro-RO"/>
        </w:rPr>
        <w:t>:</w:t>
      </w:r>
    </w:p>
    <w:p w:rsidR="00EF5187" w:rsidRPr="00CD48F9" w:rsidRDefault="00EF5187" w:rsidP="0080034B">
      <w:pPr>
        <w:pStyle w:val="ListParagraph"/>
        <w:numPr>
          <w:ilvl w:val="0"/>
          <w:numId w:val="12"/>
        </w:numPr>
        <w:spacing w:after="120" w:line="276" w:lineRule="auto"/>
        <w:ind w:left="0" w:firstLine="450"/>
        <w:rPr>
          <w:lang w:val="ro-RO"/>
        </w:rPr>
      </w:pPr>
      <w:r w:rsidRPr="00CD48F9">
        <w:rPr>
          <w:lang w:val="ro-RO"/>
        </w:rPr>
        <w:t>două unități/structuri au participat la activități de schimb de bune practici și asistență, în contextul creșterii capacității instituției publice de a furniza informații de interes public și de a asigura un proces participativ de calitate: Spital București Jilava și SNPAP Târgu Ocna. S-au organizat 4 cursuri de formare în domeniu, la care au participat 167 de angajați;</w:t>
      </w:r>
    </w:p>
    <w:p w:rsidR="00EF5187"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45 de unități subordonate și aparatul central (97%) </w:t>
      </w:r>
      <w:r w:rsidR="00633D14" w:rsidRPr="00CD48F9">
        <w:rPr>
          <w:lang w:val="ro-RO"/>
        </w:rPr>
        <w:t xml:space="preserve">respectă Anexa 5 la SNA 2016-2020, privind </w:t>
      </w:r>
      <w:r w:rsidRPr="00CD48F9">
        <w:rPr>
          <w:lang w:val="ro-RO"/>
        </w:rPr>
        <w:t xml:space="preserve">standardizarea </w:t>
      </w:r>
      <w:proofErr w:type="spellStart"/>
      <w:r w:rsidRPr="00CD48F9">
        <w:rPr>
          <w:lang w:val="ro-RO"/>
        </w:rPr>
        <w:t>afişării</w:t>
      </w:r>
      <w:proofErr w:type="spellEnd"/>
      <w:r w:rsidRPr="00CD48F9">
        <w:rPr>
          <w:lang w:val="ro-RO"/>
        </w:rPr>
        <w:t xml:space="preserve"> </w:t>
      </w:r>
      <w:proofErr w:type="spellStart"/>
      <w:r w:rsidRPr="00CD48F9">
        <w:rPr>
          <w:lang w:val="ro-RO"/>
        </w:rPr>
        <w:t>informaţiilor</w:t>
      </w:r>
      <w:proofErr w:type="spellEnd"/>
      <w:r w:rsidRPr="00CD48F9">
        <w:rPr>
          <w:lang w:val="ro-RO"/>
        </w:rPr>
        <w:t xml:space="preserve"> de interes public;</w:t>
      </w:r>
    </w:p>
    <w:p w:rsidR="00EF5187"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au fost publicate pe pagina de internet a </w:t>
      </w:r>
      <w:proofErr w:type="spellStart"/>
      <w:r w:rsidRPr="00CD48F9">
        <w:rPr>
          <w:lang w:val="ro-RO"/>
        </w:rPr>
        <w:t>instituţiei</w:t>
      </w:r>
      <w:proofErr w:type="spellEnd"/>
      <w:r w:rsidRPr="00CD48F9">
        <w:rPr>
          <w:lang w:val="ro-RO"/>
        </w:rPr>
        <w:t xml:space="preserve"> 14 proiecte de acte normative, cu respectarea dispozițiilor art. 7 din Legea nr. 52/2003 privind transparența decizională în administrația publică, republicată;</w:t>
      </w:r>
    </w:p>
    <w:p w:rsidR="00633D14" w:rsidRPr="00CD48F9" w:rsidRDefault="006B2FD0" w:rsidP="0080034B">
      <w:pPr>
        <w:pStyle w:val="ListParagraph"/>
        <w:numPr>
          <w:ilvl w:val="0"/>
          <w:numId w:val="12"/>
        </w:numPr>
        <w:spacing w:after="120" w:line="276" w:lineRule="auto"/>
        <w:ind w:left="0" w:firstLine="450"/>
        <w:rPr>
          <w:lang w:val="ro-RO"/>
        </w:rPr>
      </w:pPr>
      <w:r w:rsidRPr="00CD48F9">
        <w:rPr>
          <w:lang w:val="ro-RO"/>
        </w:rPr>
        <w:t>au fost publicate</w:t>
      </w:r>
      <w:r w:rsidR="00EF5187" w:rsidRPr="00CD48F9">
        <w:rPr>
          <w:lang w:val="ro-RO"/>
        </w:rPr>
        <w:t xml:space="preserve"> </w:t>
      </w:r>
      <w:r w:rsidR="00B46916" w:rsidRPr="00CD48F9">
        <w:rPr>
          <w:lang w:val="ro-RO"/>
        </w:rPr>
        <w:t xml:space="preserve">bugetul, situațiile financiare </w:t>
      </w:r>
      <w:r w:rsidR="00EF5187" w:rsidRPr="00CD48F9">
        <w:rPr>
          <w:lang w:val="ro-RO"/>
        </w:rPr>
        <w:t>și lista i</w:t>
      </w:r>
      <w:r w:rsidRPr="00CD48F9">
        <w:rPr>
          <w:lang w:val="ro-RO"/>
        </w:rPr>
        <w:t>nvestițiilor în procent de 100% la nivelul aparatului central;</w:t>
      </w:r>
      <w:r w:rsidR="00EF5187" w:rsidRPr="00CD48F9">
        <w:rPr>
          <w:lang w:val="ro-RO"/>
        </w:rPr>
        <w:t xml:space="preserve"> 31 </w:t>
      </w:r>
      <w:r w:rsidRPr="00CD48F9">
        <w:rPr>
          <w:lang w:val="ro-RO"/>
        </w:rPr>
        <w:t xml:space="preserve">de </w:t>
      </w:r>
      <w:r w:rsidR="00EF5187" w:rsidRPr="00CD48F9">
        <w:rPr>
          <w:lang w:val="ro-RO"/>
        </w:rPr>
        <w:t xml:space="preserve">unități subordonate raportează gradul de îndeplinire de 100% </w:t>
      </w:r>
      <w:r w:rsidR="00633D14" w:rsidRPr="00CD48F9">
        <w:rPr>
          <w:lang w:val="ro-RO"/>
        </w:rPr>
        <w:t>privind publicarea bugetului,</w:t>
      </w:r>
      <w:r w:rsidR="00EF5187" w:rsidRPr="00CD48F9">
        <w:rPr>
          <w:lang w:val="ro-RO"/>
        </w:rPr>
        <w:t xml:space="preserve"> 28 de unități subordonate raportează gradul de îndeplinire de 100% privind publicarea de situații financiare</w:t>
      </w:r>
      <w:r w:rsidR="00633D14" w:rsidRPr="00CD48F9">
        <w:rPr>
          <w:lang w:val="ro-RO"/>
        </w:rPr>
        <w:t xml:space="preserve"> iar</w:t>
      </w:r>
      <w:r w:rsidR="00EF5187" w:rsidRPr="00CD48F9">
        <w:rPr>
          <w:lang w:val="ro-RO"/>
        </w:rPr>
        <w:t xml:space="preserve"> 21 </w:t>
      </w:r>
      <w:r w:rsidRPr="00CD48F9">
        <w:rPr>
          <w:lang w:val="ro-RO"/>
        </w:rPr>
        <w:t xml:space="preserve">de </w:t>
      </w:r>
      <w:r w:rsidR="00EF5187" w:rsidRPr="00CD48F9">
        <w:rPr>
          <w:lang w:val="ro-RO"/>
        </w:rPr>
        <w:t>unități subordonate (45%) au raportat</w:t>
      </w:r>
      <w:r w:rsidR="00633D14" w:rsidRPr="00CD48F9">
        <w:rPr>
          <w:lang w:val="ro-RO"/>
        </w:rPr>
        <w:t xml:space="preserve"> gradul de îndeplinire de 100% pentru publicarea listei de investiții</w:t>
      </w:r>
      <w:r w:rsidR="00EF5187" w:rsidRPr="00CD48F9">
        <w:rPr>
          <w:lang w:val="ro-RO"/>
        </w:rPr>
        <w:t>;</w:t>
      </w:r>
    </w:p>
    <w:p w:rsidR="00633D14"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a </w:t>
      </w:r>
      <w:r w:rsidR="006B2FD0" w:rsidRPr="00CD48F9">
        <w:rPr>
          <w:lang w:val="ro-RO"/>
        </w:rPr>
        <w:t xml:space="preserve">fost </w:t>
      </w:r>
      <w:r w:rsidRPr="00CD48F9">
        <w:rPr>
          <w:lang w:val="ro-RO"/>
        </w:rPr>
        <w:t>publicat</w:t>
      </w:r>
      <w:r w:rsidR="006B2FD0" w:rsidRPr="00CD48F9">
        <w:rPr>
          <w:lang w:val="ro-RO"/>
        </w:rPr>
        <w:t>ă</w:t>
      </w:r>
      <w:r w:rsidRPr="00CD48F9">
        <w:rPr>
          <w:lang w:val="ro-RO"/>
        </w:rPr>
        <w:t xml:space="preserve"> lista contractelor semnate în cadrul proiectului SIPOCA 60</w:t>
      </w:r>
      <w:r w:rsidR="00633D14" w:rsidRPr="00CD48F9">
        <w:rPr>
          <w:lang w:val="ro-RO"/>
        </w:rPr>
        <w:t>;</w:t>
      </w:r>
    </w:p>
    <w:p w:rsidR="00B61B16" w:rsidRPr="00CD48F9" w:rsidRDefault="006B2FD0" w:rsidP="0080034B">
      <w:pPr>
        <w:pStyle w:val="ListParagraph"/>
        <w:numPr>
          <w:ilvl w:val="0"/>
          <w:numId w:val="12"/>
        </w:numPr>
        <w:spacing w:after="120" w:line="276" w:lineRule="auto"/>
        <w:ind w:left="0" w:firstLine="450"/>
        <w:rPr>
          <w:lang w:val="ro-RO"/>
        </w:rPr>
      </w:pPr>
      <w:r w:rsidRPr="00CD48F9">
        <w:rPr>
          <w:lang w:val="ro-RO"/>
        </w:rPr>
        <w:t>a fost</w:t>
      </w:r>
      <w:r w:rsidR="00EF5187" w:rsidRPr="00CD48F9">
        <w:rPr>
          <w:lang w:val="ro-RO"/>
        </w:rPr>
        <w:t xml:space="preserve"> postat</w:t>
      </w:r>
      <w:r w:rsidRPr="00CD48F9">
        <w:rPr>
          <w:lang w:val="ro-RO"/>
        </w:rPr>
        <w:t>ă</w:t>
      </w:r>
      <w:r w:rsidR="00633D14" w:rsidRPr="00CD48F9">
        <w:rPr>
          <w:lang w:val="ro-RO"/>
        </w:rPr>
        <w:t xml:space="preserve"> pe pagina de internet a instituției,</w:t>
      </w:r>
      <w:r w:rsidR="00EF5187" w:rsidRPr="00CD48F9">
        <w:rPr>
          <w:lang w:val="ro-RO"/>
        </w:rPr>
        <w:t xml:space="preserve"> lista incidentelor de i</w:t>
      </w:r>
      <w:r w:rsidR="00B61B16" w:rsidRPr="00CD48F9">
        <w:rPr>
          <w:lang w:val="ro-RO"/>
        </w:rPr>
        <w:t>ntegritate;</w:t>
      </w:r>
      <w:r w:rsidR="00EF5187" w:rsidRPr="00CD48F9">
        <w:rPr>
          <w:lang w:val="ro-RO"/>
        </w:rPr>
        <w:t xml:space="preserve"> </w:t>
      </w:r>
    </w:p>
    <w:p w:rsidR="00B61B16"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a fost demarat programul sectorial </w:t>
      </w:r>
      <w:r w:rsidRPr="00CD48F9">
        <w:rPr>
          <w:i/>
          <w:lang w:val="ro-RO"/>
        </w:rPr>
        <w:t>”Prevenire în 5 minute”</w:t>
      </w:r>
      <w:r w:rsidRPr="00CD48F9">
        <w:rPr>
          <w:lang w:val="ro-RO"/>
        </w:rPr>
        <w:t xml:space="preserve"> la nivel central și teritorial, având ca grup țintă personalul din sistemul penitenciar cu acces la poșta electronică</w:t>
      </w:r>
      <w:r w:rsidR="00B61B16" w:rsidRPr="00CD48F9">
        <w:rPr>
          <w:lang w:val="ro-RO"/>
        </w:rPr>
        <w:t>;</w:t>
      </w:r>
    </w:p>
    <w:p w:rsidR="00B61B16" w:rsidRPr="00CD48F9" w:rsidRDefault="00EF5187" w:rsidP="0080034B">
      <w:pPr>
        <w:pStyle w:val="ListParagraph"/>
        <w:numPr>
          <w:ilvl w:val="0"/>
          <w:numId w:val="12"/>
        </w:numPr>
        <w:spacing w:after="120" w:line="276" w:lineRule="auto"/>
        <w:ind w:left="0" w:firstLine="450"/>
        <w:rPr>
          <w:lang w:val="ro-RO"/>
        </w:rPr>
      </w:pPr>
      <w:r w:rsidRPr="00CD48F9">
        <w:rPr>
          <w:lang w:val="ro-RO"/>
        </w:rPr>
        <w:t>a continuat programul demarat în anul 2018</w:t>
      </w:r>
      <w:r w:rsidR="00B61B16" w:rsidRPr="00CD48F9">
        <w:rPr>
          <w:lang w:val="ro-RO"/>
        </w:rPr>
        <w:t>,</w:t>
      </w:r>
      <w:r w:rsidRPr="00CD48F9">
        <w:rPr>
          <w:lang w:val="ro-RO"/>
        </w:rPr>
        <w:t xml:space="preserve"> privind instruirea individuală a angajaților din penitenciare, fiind înregistrat un număr de 3</w:t>
      </w:r>
      <w:r w:rsidR="00B46916" w:rsidRPr="00CD48F9">
        <w:rPr>
          <w:lang w:val="ro-RO"/>
        </w:rPr>
        <w:t>.</w:t>
      </w:r>
      <w:r w:rsidRPr="00CD48F9">
        <w:rPr>
          <w:lang w:val="ro-RO"/>
        </w:rPr>
        <w:t xml:space="preserve">807 </w:t>
      </w:r>
      <w:r w:rsidR="00B61B16" w:rsidRPr="00CD48F9">
        <w:rPr>
          <w:lang w:val="ro-RO"/>
        </w:rPr>
        <w:t>persoane instruite;</w:t>
      </w:r>
    </w:p>
    <w:p w:rsidR="00B61B16"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36 de unități subordonate (78%) au derulat activități de educare a persoanelor care au obligația depunerii declarațiilor de avere și de interese, </w:t>
      </w:r>
      <w:r w:rsidR="00B61B16" w:rsidRPr="00CD48F9">
        <w:rPr>
          <w:lang w:val="ro-RO"/>
        </w:rPr>
        <w:t xml:space="preserve">procentul de participare fiind de 100%, fiind </w:t>
      </w:r>
      <w:r w:rsidRPr="00CD48F9">
        <w:rPr>
          <w:lang w:val="ro-RO"/>
        </w:rPr>
        <w:t>diseminate 38 de g</w:t>
      </w:r>
      <w:r w:rsidR="00B61B16" w:rsidRPr="00CD48F9">
        <w:rPr>
          <w:lang w:val="ro-RO"/>
        </w:rPr>
        <w:t>hiduri și materiale informative;</w:t>
      </w:r>
    </w:p>
    <w:p w:rsidR="00B61B16" w:rsidRPr="00CD48F9" w:rsidRDefault="00EF5187" w:rsidP="0080034B">
      <w:pPr>
        <w:pStyle w:val="ListParagraph"/>
        <w:numPr>
          <w:ilvl w:val="0"/>
          <w:numId w:val="12"/>
        </w:numPr>
        <w:spacing w:after="120" w:line="276" w:lineRule="auto"/>
        <w:ind w:left="0" w:firstLine="450"/>
        <w:rPr>
          <w:lang w:val="ro-RO"/>
        </w:rPr>
      </w:pPr>
      <w:r w:rsidRPr="00CD48F9">
        <w:rPr>
          <w:lang w:val="ro-RO"/>
        </w:rPr>
        <w:t xml:space="preserve">305 de persoane au beneficiat de ședințe de consiliere cu privire la cadrul legislativ </w:t>
      </w:r>
      <w:r w:rsidR="00B61B16" w:rsidRPr="00CD48F9">
        <w:rPr>
          <w:lang w:val="ro-RO"/>
        </w:rPr>
        <w:t>aplicabil în materie de integritate;</w:t>
      </w:r>
    </w:p>
    <w:p w:rsidR="00B61B16" w:rsidRPr="00CD48F9" w:rsidRDefault="006B2FD0" w:rsidP="0080034B">
      <w:pPr>
        <w:pStyle w:val="ListParagraph"/>
        <w:numPr>
          <w:ilvl w:val="0"/>
          <w:numId w:val="12"/>
        </w:numPr>
        <w:spacing w:after="120" w:line="276" w:lineRule="auto"/>
        <w:ind w:left="0" w:firstLine="450"/>
        <w:rPr>
          <w:lang w:val="ro-RO"/>
        </w:rPr>
      </w:pPr>
      <w:r w:rsidRPr="00CD48F9">
        <w:rPr>
          <w:lang w:val="ro-RO"/>
        </w:rPr>
        <w:t>a fost</w:t>
      </w:r>
      <w:r w:rsidR="00EF5187" w:rsidRPr="00CD48F9">
        <w:rPr>
          <w:lang w:val="ro-RO"/>
        </w:rPr>
        <w:t xml:space="preserve"> elaborat un proiect de protocol</w:t>
      </w:r>
      <w:r w:rsidRPr="00CD48F9">
        <w:rPr>
          <w:lang w:val="ro-RO"/>
        </w:rPr>
        <w:t xml:space="preserve"> ANP-DGA,</w:t>
      </w:r>
      <w:r w:rsidR="00EF5187" w:rsidRPr="00CD48F9">
        <w:rPr>
          <w:lang w:val="ro-RO"/>
        </w:rPr>
        <w:t xml:space="preserve"> </w:t>
      </w:r>
      <w:r w:rsidR="00B61B16" w:rsidRPr="00CD48F9">
        <w:rPr>
          <w:lang w:val="ro-RO"/>
        </w:rPr>
        <w:t>în scopul inst</w:t>
      </w:r>
      <w:r w:rsidR="005B77B1" w:rsidRPr="00CD48F9">
        <w:rPr>
          <w:lang w:val="ro-RO"/>
        </w:rPr>
        <w:t>r</w:t>
      </w:r>
      <w:r w:rsidR="00B61B16" w:rsidRPr="00CD48F9">
        <w:rPr>
          <w:lang w:val="ro-RO"/>
        </w:rPr>
        <w:t>uirii în domeniul luptei împotriva corupției;</w:t>
      </w:r>
    </w:p>
    <w:p w:rsidR="00B61B16" w:rsidRPr="00CD48F9" w:rsidRDefault="006B2FD0" w:rsidP="0080034B">
      <w:pPr>
        <w:pStyle w:val="ListParagraph"/>
        <w:numPr>
          <w:ilvl w:val="0"/>
          <w:numId w:val="12"/>
        </w:numPr>
        <w:spacing w:after="120" w:line="276" w:lineRule="auto"/>
        <w:ind w:left="0" w:firstLine="450"/>
        <w:rPr>
          <w:lang w:val="ro-RO"/>
        </w:rPr>
      </w:pPr>
      <w:r w:rsidRPr="00CD48F9">
        <w:rPr>
          <w:lang w:val="ro-RO"/>
        </w:rPr>
        <w:t xml:space="preserve">reprezentanții ANP </w:t>
      </w:r>
      <w:r w:rsidR="00B61B16" w:rsidRPr="00CD48F9">
        <w:rPr>
          <w:lang w:val="ro-RO"/>
        </w:rPr>
        <w:t xml:space="preserve">au ținut prelegeri în cadrul </w:t>
      </w:r>
      <w:r w:rsidR="00EF5187" w:rsidRPr="00CD48F9">
        <w:rPr>
          <w:lang w:val="ro-RO"/>
        </w:rPr>
        <w:t xml:space="preserve">Școlii Naționale pentru Pregătirea Agenților de Penitenciare Târgu Ocna, Academiei Naționale de Informații ”Mihai Viteazul” și Academiei de Poliție ”Alexandru Ioan Cuza”, </w:t>
      </w:r>
      <w:r w:rsidR="00B61B16" w:rsidRPr="00CD48F9">
        <w:rPr>
          <w:lang w:val="ro-RO"/>
        </w:rPr>
        <w:t>ce au avut ca temă noțiunea de integritate;</w:t>
      </w:r>
    </w:p>
    <w:p w:rsidR="00B61B16" w:rsidRPr="00CD48F9" w:rsidRDefault="00B61B16" w:rsidP="0080034B">
      <w:pPr>
        <w:pStyle w:val="ListParagraph"/>
        <w:numPr>
          <w:ilvl w:val="0"/>
          <w:numId w:val="12"/>
        </w:numPr>
        <w:spacing w:after="120" w:line="276" w:lineRule="auto"/>
        <w:ind w:left="0" w:firstLine="450"/>
        <w:rPr>
          <w:lang w:val="ro-RO"/>
        </w:rPr>
      </w:pPr>
      <w:r w:rsidRPr="00CD48F9">
        <w:rPr>
          <w:lang w:val="ro-RO"/>
        </w:rPr>
        <w:t>a</w:t>
      </w:r>
      <w:r w:rsidR="00EF5187" w:rsidRPr="00CD48F9">
        <w:rPr>
          <w:lang w:val="ro-RO"/>
        </w:rPr>
        <w:t xml:space="preserve"> fost elaborat Regulamentul privind organizarea și executarea controalelor în Administrația Națională a Penitenciarelor și în unitățile subordonate, aprobat prin Decizia Directorului General al ANP</w:t>
      </w:r>
      <w:r w:rsidRPr="00CD48F9">
        <w:rPr>
          <w:lang w:val="ro-RO"/>
        </w:rPr>
        <w:t xml:space="preserve"> nr. 492/</w:t>
      </w:r>
      <w:r w:rsidR="00EF5187" w:rsidRPr="00CD48F9">
        <w:rPr>
          <w:lang w:val="ro-RO"/>
        </w:rPr>
        <w:t>05.08.2019</w:t>
      </w:r>
      <w:r w:rsidRPr="00CD48F9">
        <w:rPr>
          <w:lang w:val="ro-RO"/>
        </w:rPr>
        <w:t>;</w:t>
      </w:r>
    </w:p>
    <w:p w:rsidR="00B61B16" w:rsidRPr="00CD48F9" w:rsidRDefault="00EF5187" w:rsidP="0080034B">
      <w:pPr>
        <w:pStyle w:val="ListParagraph"/>
        <w:numPr>
          <w:ilvl w:val="0"/>
          <w:numId w:val="12"/>
        </w:numPr>
        <w:spacing w:after="120" w:line="276" w:lineRule="auto"/>
        <w:ind w:left="0" w:firstLine="450"/>
        <w:rPr>
          <w:lang w:val="ro-RO"/>
        </w:rPr>
      </w:pPr>
      <w:r w:rsidRPr="00CD48F9">
        <w:rPr>
          <w:lang w:val="ro-RO"/>
        </w:rPr>
        <w:lastRenderedPageBreak/>
        <w:t xml:space="preserve">22 unități subordonate (47%) utilizează </w:t>
      </w:r>
      <w:r w:rsidR="00B61B16" w:rsidRPr="00CD48F9">
        <w:rPr>
          <w:lang w:val="ro-RO"/>
        </w:rPr>
        <w:t xml:space="preserve">infrastructura dezvoltată în cadrul sistemului național de raportare, potrivit OUG 88/2013 privind adoptarea unor măsuri fiscal-bugetare pentru îndeplinirea unor angajamente convenite cu organismele </w:t>
      </w:r>
      <w:proofErr w:type="spellStart"/>
      <w:r w:rsidR="00B61B16" w:rsidRPr="00CD48F9">
        <w:rPr>
          <w:lang w:val="ro-RO"/>
        </w:rPr>
        <w:t>internaţionale</w:t>
      </w:r>
      <w:proofErr w:type="spellEnd"/>
      <w:r w:rsidR="00B61B16" w:rsidRPr="00CD48F9">
        <w:rPr>
          <w:lang w:val="ro-RO"/>
        </w:rPr>
        <w:t xml:space="preserve">, precum </w:t>
      </w:r>
      <w:proofErr w:type="spellStart"/>
      <w:r w:rsidR="00B61B16" w:rsidRPr="00CD48F9">
        <w:rPr>
          <w:lang w:val="ro-RO"/>
        </w:rPr>
        <w:t>şi</w:t>
      </w:r>
      <w:proofErr w:type="spellEnd"/>
      <w:r w:rsidR="00B61B16" w:rsidRPr="00CD48F9">
        <w:rPr>
          <w:lang w:val="ro-RO"/>
        </w:rPr>
        <w:t xml:space="preserve"> pentru modificarea </w:t>
      </w:r>
      <w:proofErr w:type="spellStart"/>
      <w:r w:rsidR="00B61B16" w:rsidRPr="00CD48F9">
        <w:rPr>
          <w:lang w:val="ro-RO"/>
        </w:rPr>
        <w:t>şi</w:t>
      </w:r>
      <w:proofErr w:type="spellEnd"/>
      <w:r w:rsidR="00B61B16" w:rsidRPr="00CD48F9">
        <w:rPr>
          <w:lang w:val="ro-RO"/>
        </w:rPr>
        <w:t xml:space="preserve"> completarea unor acte normative;</w:t>
      </w:r>
    </w:p>
    <w:p w:rsidR="00272460" w:rsidRPr="00CD48F9" w:rsidRDefault="00B61B16" w:rsidP="0080034B">
      <w:pPr>
        <w:pStyle w:val="ListParagraph"/>
        <w:numPr>
          <w:ilvl w:val="0"/>
          <w:numId w:val="12"/>
        </w:numPr>
        <w:spacing w:after="120" w:line="276" w:lineRule="auto"/>
        <w:ind w:left="0" w:firstLine="450"/>
        <w:rPr>
          <w:lang w:val="ro-RO"/>
        </w:rPr>
      </w:pPr>
      <w:r w:rsidRPr="00CD48F9">
        <w:rPr>
          <w:lang w:val="ro-RO"/>
        </w:rPr>
        <w:t>centralizarea datelor privind sancțiunile disciplinare este i</w:t>
      </w:r>
      <w:r w:rsidR="00EF5187" w:rsidRPr="00CD48F9">
        <w:rPr>
          <w:lang w:val="ro-RO"/>
        </w:rPr>
        <w:t>mplementată</w:t>
      </w:r>
      <w:r w:rsidRPr="00CD48F9">
        <w:rPr>
          <w:lang w:val="ro-RO"/>
        </w:rPr>
        <w:t xml:space="preserve"> în procent de</w:t>
      </w:r>
      <w:r w:rsidR="00EF5187" w:rsidRPr="00CD48F9">
        <w:rPr>
          <w:lang w:val="ro-RO"/>
        </w:rPr>
        <w:t xml:space="preserve"> 100% pentru aparatul central și 95% pentru unitățile subordonate (Giurgiu, București Rahova, Spital Constanța Poarta Albă nu au raportat datele).</w:t>
      </w:r>
    </w:p>
    <w:p w:rsidR="001A3D21" w:rsidRPr="00CD48F9" w:rsidRDefault="001A3D21" w:rsidP="001A3D21">
      <w:pPr>
        <w:pStyle w:val="ListParagraph"/>
        <w:spacing w:after="120" w:line="276" w:lineRule="auto"/>
        <w:ind w:left="450"/>
        <w:rPr>
          <w:lang w:val="ro-RO"/>
        </w:rPr>
      </w:pP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Autoritatea Națională pentru Cetățenie</w:t>
      </w:r>
    </w:p>
    <w:p w:rsidR="00F16875" w:rsidRPr="00CD48F9" w:rsidRDefault="00F16875" w:rsidP="00972E3A">
      <w:pPr>
        <w:spacing w:after="120" w:line="276" w:lineRule="auto"/>
        <w:rPr>
          <w:lang w:val="ro-RO"/>
        </w:rPr>
      </w:pPr>
      <w:r w:rsidRPr="00CD48F9">
        <w:rPr>
          <w:lang w:val="ro-RO"/>
        </w:rPr>
        <w:t xml:space="preserve"> </w:t>
      </w:r>
      <w:r w:rsidR="00941871" w:rsidRPr="00CD48F9">
        <w:rPr>
          <w:lang w:val="ro-RO"/>
        </w:rPr>
        <w:t xml:space="preserve">În </w:t>
      </w:r>
      <w:r w:rsidRPr="00CD48F9">
        <w:rPr>
          <w:lang w:val="ro-RO"/>
        </w:rPr>
        <w:t>cursul anul 20</w:t>
      </w:r>
      <w:r w:rsidR="00861C25" w:rsidRPr="00CD48F9">
        <w:rPr>
          <w:lang w:val="ro-RO"/>
        </w:rPr>
        <w:t>19</w:t>
      </w:r>
      <w:r w:rsidRPr="00CD48F9">
        <w:rPr>
          <w:lang w:val="ro-RO"/>
        </w:rPr>
        <w:t xml:space="preserve"> au fost întreprinse următoarele:</w:t>
      </w:r>
    </w:p>
    <w:p w:rsidR="00941871" w:rsidRPr="00CD48F9" w:rsidRDefault="00941871" w:rsidP="0080034B">
      <w:pPr>
        <w:pStyle w:val="ListParagraph"/>
        <w:numPr>
          <w:ilvl w:val="0"/>
          <w:numId w:val="11"/>
        </w:numPr>
        <w:spacing w:after="120" w:line="276" w:lineRule="auto"/>
        <w:ind w:left="426" w:hanging="284"/>
        <w:textAlignment w:val="baseline"/>
        <w:rPr>
          <w:rFonts w:eastAsia="Times New Roman" w:cs="Helvetica"/>
          <w:color w:val="000000"/>
          <w:lang w:val="ro-RO" w:eastAsia="ro-RO"/>
        </w:rPr>
      </w:pPr>
      <w:r w:rsidRPr="00CD48F9">
        <w:rPr>
          <w:rFonts w:eastAsia="Times New Roman" w:cs="Helvetica"/>
          <w:color w:val="000000"/>
          <w:lang w:val="ro-RO" w:eastAsia="ro-RO"/>
        </w:rPr>
        <w:t>implementarea procedurii de înregistrare audio-video a ședințelor de acordare a cetățeniei române în baza art. 8;</w:t>
      </w:r>
    </w:p>
    <w:p w:rsidR="00941871" w:rsidRPr="00CD48F9" w:rsidRDefault="00941871" w:rsidP="0080034B">
      <w:pPr>
        <w:pStyle w:val="ListParagraph"/>
        <w:numPr>
          <w:ilvl w:val="0"/>
          <w:numId w:val="11"/>
        </w:numPr>
        <w:spacing w:after="120" w:line="276" w:lineRule="auto"/>
        <w:ind w:left="426" w:hanging="284"/>
        <w:textAlignment w:val="baseline"/>
        <w:rPr>
          <w:rFonts w:eastAsia="Times New Roman" w:cs="Helvetica"/>
          <w:color w:val="000000"/>
          <w:lang w:val="ro-RO" w:eastAsia="ro-RO"/>
        </w:rPr>
      </w:pPr>
      <w:r w:rsidRPr="00CD48F9">
        <w:rPr>
          <w:rFonts w:eastAsia="Times New Roman" w:cs="Helvetica"/>
          <w:color w:val="000000"/>
          <w:lang w:val="ro-RO" w:eastAsia="ro-RO"/>
        </w:rPr>
        <w:t>demararea procedurilor</w:t>
      </w:r>
      <w:r w:rsidR="001A3D21" w:rsidRPr="00CD48F9">
        <w:rPr>
          <w:rFonts w:eastAsia="Times New Roman" w:cs="Helvetica"/>
          <w:color w:val="000000"/>
          <w:lang w:val="ro-RO" w:eastAsia="ro-RO"/>
        </w:rPr>
        <w:t xml:space="preserve"> pentru achiziționarea unei noi pagini de internet </w:t>
      </w:r>
      <w:r w:rsidRPr="00CD48F9">
        <w:rPr>
          <w:rFonts w:eastAsia="Times New Roman" w:cs="Helvetica"/>
          <w:color w:val="000000"/>
          <w:lang w:val="ro-RO" w:eastAsia="ro-RO"/>
        </w:rPr>
        <w:t>și a unei noi platforme</w:t>
      </w:r>
      <w:r w:rsidR="001A3D21" w:rsidRPr="00CD48F9">
        <w:rPr>
          <w:rFonts w:eastAsia="Times New Roman" w:cs="Helvetica"/>
          <w:color w:val="000000"/>
          <w:lang w:val="ro-RO" w:eastAsia="ro-RO"/>
        </w:rPr>
        <w:t>,</w:t>
      </w:r>
      <w:r w:rsidRPr="00CD48F9">
        <w:rPr>
          <w:rFonts w:eastAsia="Times New Roman" w:cs="Helvetica"/>
          <w:color w:val="000000"/>
          <w:lang w:val="ro-RO" w:eastAsia="ro-RO"/>
        </w:rPr>
        <w:t xml:space="preserve"> necesare sistemului de programare online;</w:t>
      </w:r>
    </w:p>
    <w:p w:rsidR="001A3D21" w:rsidRPr="00CD48F9" w:rsidRDefault="00941871" w:rsidP="0080034B">
      <w:pPr>
        <w:pStyle w:val="ListParagraph"/>
        <w:numPr>
          <w:ilvl w:val="0"/>
          <w:numId w:val="11"/>
        </w:numPr>
        <w:spacing w:after="120" w:line="276" w:lineRule="auto"/>
        <w:ind w:left="426" w:hanging="284"/>
        <w:textAlignment w:val="baseline"/>
        <w:rPr>
          <w:rFonts w:eastAsia="Times New Roman" w:cs="Helvetica"/>
          <w:color w:val="000000"/>
          <w:lang w:val="ro-RO" w:eastAsia="ro-RO"/>
        </w:rPr>
      </w:pPr>
      <w:r w:rsidRPr="00CD48F9">
        <w:rPr>
          <w:rFonts w:eastAsia="Times New Roman" w:cs="Helvetica"/>
          <w:color w:val="000000"/>
          <w:lang w:val="ro-RO" w:eastAsia="ro-RO"/>
        </w:rPr>
        <w:t>pe portalul data.gov.ro sunt publicate 33 de seturi de date și de asemenea, sunt actualizate permanent pe site-ul ruti.gov.ro, întâlnirile co</w:t>
      </w:r>
      <w:r w:rsidR="00AD2513" w:rsidRPr="00CD48F9">
        <w:rPr>
          <w:rFonts w:eastAsia="Times New Roman" w:cs="Helvetica"/>
          <w:color w:val="000000"/>
          <w:lang w:val="ro-RO" w:eastAsia="ro-RO"/>
        </w:rPr>
        <w:t>n</w:t>
      </w:r>
      <w:r w:rsidRPr="00CD48F9">
        <w:rPr>
          <w:rFonts w:eastAsia="Times New Roman" w:cs="Helvetica"/>
          <w:color w:val="000000"/>
          <w:lang w:val="ro-RO" w:eastAsia="ro-RO"/>
        </w:rPr>
        <w:t>ducerii ANC cu r</w:t>
      </w:r>
      <w:r w:rsidR="001A3D21" w:rsidRPr="00CD48F9">
        <w:rPr>
          <w:rFonts w:eastAsia="Times New Roman" w:cs="Helvetica"/>
          <w:color w:val="000000"/>
          <w:lang w:val="ro-RO" w:eastAsia="ro-RO"/>
        </w:rPr>
        <w:t>eprezentanții soci</w:t>
      </w:r>
      <w:r w:rsidR="00AD2513" w:rsidRPr="00CD48F9">
        <w:rPr>
          <w:rFonts w:eastAsia="Times New Roman" w:cs="Helvetica"/>
          <w:color w:val="000000"/>
          <w:lang w:val="ro-RO" w:eastAsia="ro-RO"/>
        </w:rPr>
        <w:t>e</w:t>
      </w:r>
      <w:r w:rsidR="001A3D21" w:rsidRPr="00CD48F9">
        <w:rPr>
          <w:rFonts w:eastAsia="Times New Roman" w:cs="Helvetica"/>
          <w:color w:val="000000"/>
          <w:lang w:val="ro-RO" w:eastAsia="ro-RO"/>
        </w:rPr>
        <w:t>tății civile;</w:t>
      </w:r>
      <w:r w:rsidRPr="00CD48F9">
        <w:rPr>
          <w:rFonts w:eastAsia="Times New Roman" w:cs="Helvetica"/>
          <w:color w:val="000000"/>
          <w:lang w:val="ro-RO" w:eastAsia="ro-RO"/>
        </w:rPr>
        <w:t xml:space="preserve"> </w:t>
      </w:r>
    </w:p>
    <w:p w:rsidR="00414065" w:rsidRPr="00CD48F9" w:rsidRDefault="00941871" w:rsidP="0080034B">
      <w:pPr>
        <w:pStyle w:val="ListParagraph"/>
        <w:numPr>
          <w:ilvl w:val="0"/>
          <w:numId w:val="11"/>
        </w:numPr>
        <w:spacing w:after="120" w:line="276" w:lineRule="auto"/>
        <w:ind w:left="426" w:hanging="284"/>
        <w:textAlignment w:val="baseline"/>
        <w:rPr>
          <w:rFonts w:eastAsia="Times New Roman" w:cs="Helvetica"/>
          <w:color w:val="000000"/>
          <w:lang w:val="ro-RO" w:eastAsia="ro-RO"/>
        </w:rPr>
      </w:pPr>
      <w:r w:rsidRPr="00CD48F9">
        <w:rPr>
          <w:rFonts w:eastAsia="Times New Roman" w:cs="Helvetica"/>
          <w:color w:val="000000"/>
          <w:lang w:val="ro-RO" w:eastAsia="ro-RO"/>
        </w:rPr>
        <w:t xml:space="preserve">ANC are publicate, pe site-ul </w:t>
      </w:r>
      <w:hyperlink r:id="rId10" w:history="1">
        <w:r w:rsidR="002F11E7" w:rsidRPr="002F11E7">
          <w:rPr>
            <w:rStyle w:val="Hyperlink"/>
            <w:rFonts w:eastAsia="Times New Roman" w:cs="Helvetica"/>
            <w:lang w:val="ro-RO" w:eastAsia="ro-RO"/>
          </w:rPr>
          <w:t>www.edirect.e-guvernare.ro</w:t>
        </w:r>
      </w:hyperlink>
      <w:r w:rsidRPr="00CD48F9">
        <w:rPr>
          <w:rFonts w:eastAsia="Times New Roman" w:cs="Helvetica"/>
          <w:color w:val="000000"/>
          <w:lang w:val="ro-RO" w:eastAsia="ro-RO"/>
        </w:rPr>
        <w:t>, 8 proceduri însoți</w:t>
      </w:r>
      <w:r w:rsidR="0093061D" w:rsidRPr="00CD48F9">
        <w:rPr>
          <w:rFonts w:eastAsia="Times New Roman" w:cs="Helvetica"/>
          <w:color w:val="000000"/>
          <w:lang w:val="ro-RO" w:eastAsia="ro-RO"/>
        </w:rPr>
        <w:t>te de anexe în format editabil.</w:t>
      </w:r>
      <w:r w:rsidRPr="00CD48F9">
        <w:rPr>
          <w:rFonts w:eastAsia="Times New Roman" w:cs="Helvetica"/>
          <w:color w:val="000000"/>
          <w:lang w:val="ro-RO" w:eastAsia="ro-RO"/>
        </w:rPr>
        <w:t xml:space="preserve"> </w:t>
      </w:r>
    </w:p>
    <w:p w:rsidR="00414065" w:rsidRPr="00CD48F9" w:rsidRDefault="00414065" w:rsidP="00972E3A">
      <w:pPr>
        <w:pStyle w:val="ListParagraph"/>
        <w:spacing w:after="120" w:line="276" w:lineRule="auto"/>
        <w:ind w:left="432"/>
        <w:textAlignment w:val="baseline"/>
        <w:rPr>
          <w:rFonts w:eastAsia="Times New Roman" w:cs="Helvetica"/>
          <w:color w:val="000000"/>
          <w:lang w:val="ro-RO" w:eastAsia="ro-RO"/>
        </w:rPr>
      </w:pPr>
    </w:p>
    <w:p w:rsidR="00414065" w:rsidRPr="00CD48F9" w:rsidRDefault="00376BDB" w:rsidP="0080034B">
      <w:pPr>
        <w:pStyle w:val="ListParagraph"/>
        <w:numPr>
          <w:ilvl w:val="0"/>
          <w:numId w:val="7"/>
        </w:numPr>
        <w:spacing w:after="120" w:line="276" w:lineRule="auto"/>
        <w:rPr>
          <w:b/>
          <w:bCs/>
          <w:lang w:val="ro-RO"/>
        </w:rPr>
      </w:pPr>
      <w:r w:rsidRPr="00CD48F9">
        <w:rPr>
          <w:b/>
          <w:bCs/>
          <w:lang w:val="ro-RO"/>
        </w:rPr>
        <w:t>Centrul Medical de Diagnostic și Tratament Ambulatoriu și al Spitalului ”Prof. Dr. Constantin Angelescu”</w:t>
      </w:r>
    </w:p>
    <w:p w:rsidR="00414065" w:rsidRPr="00CD48F9" w:rsidRDefault="00414065" w:rsidP="00972E3A">
      <w:pPr>
        <w:spacing w:after="120" w:line="276" w:lineRule="auto"/>
        <w:rPr>
          <w:rFonts w:eastAsia="Calibri"/>
          <w:i/>
          <w:lang w:val="ro-RO"/>
        </w:rPr>
      </w:pPr>
      <w:r w:rsidRPr="00CD48F9">
        <w:rPr>
          <w:lang w:val="ro-RO"/>
        </w:rPr>
        <w:t>Î</w:t>
      </w:r>
      <w:r w:rsidRPr="00CD48F9">
        <w:rPr>
          <w:rFonts w:eastAsia="Calibri"/>
          <w:lang w:val="ro-RO"/>
        </w:rPr>
        <w:t>n perioada 10 iunie – 19 iunie 2019 a fost realizată misiunea de audit public intern cu tema “</w:t>
      </w:r>
      <w:r w:rsidRPr="00CD48F9">
        <w:rPr>
          <w:rFonts w:eastAsia="Calibri"/>
          <w:i/>
          <w:lang w:val="ro-RO"/>
        </w:rPr>
        <w:t>Evaluarea sistemului de prevenire a corupției</w:t>
      </w:r>
      <w:r w:rsidRPr="00CD48F9">
        <w:rPr>
          <w:rFonts w:eastAsia="Calibri"/>
          <w:lang w:val="ro-RO"/>
        </w:rPr>
        <w:t xml:space="preserve">”, derulată de Serviciul Audit Public Intern (SAPI) din cadrul MJ. Temele care au făcut obiectul misiunilor de audit au fost: </w:t>
      </w:r>
      <w:r w:rsidRPr="00CD48F9">
        <w:rPr>
          <w:rFonts w:eastAsia="Calibri"/>
          <w:i/>
          <w:lang w:val="ro-RO"/>
        </w:rPr>
        <w:t>codul etic/deontologic/de conduită (măsură parțial implementată), consilierul de etică (măsură parțial implementată)</w:t>
      </w:r>
      <w:r w:rsidRPr="00CD48F9">
        <w:rPr>
          <w:rFonts w:eastAsia="Calibri"/>
          <w:lang w:val="ro-RO"/>
        </w:rPr>
        <w:t xml:space="preserve"> și </w:t>
      </w:r>
      <w:r w:rsidRPr="00CD48F9">
        <w:rPr>
          <w:rFonts w:eastAsia="Calibri"/>
          <w:i/>
          <w:lang w:val="ro-RO"/>
        </w:rPr>
        <w:t>funcțiile sensibile (măsură parțial implementată).</w:t>
      </w:r>
    </w:p>
    <w:p w:rsidR="00AD2513" w:rsidRPr="00CD48F9" w:rsidRDefault="00AD2513" w:rsidP="00972E3A">
      <w:pPr>
        <w:spacing w:after="120" w:line="276" w:lineRule="auto"/>
        <w:rPr>
          <w:lang w:val="ro-RO"/>
        </w:rPr>
      </w:pP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Direcția Națională de Probațiune (DNP)</w:t>
      </w:r>
    </w:p>
    <w:p w:rsidR="00F16875" w:rsidRPr="00CD48F9" w:rsidRDefault="00AD2513" w:rsidP="00972E3A">
      <w:pPr>
        <w:spacing w:after="120" w:line="276" w:lineRule="auto"/>
        <w:rPr>
          <w:lang w:val="ro-RO"/>
        </w:rPr>
      </w:pPr>
      <w:r w:rsidRPr="00CD48F9">
        <w:rPr>
          <w:lang w:val="ro-RO"/>
        </w:rPr>
        <w:t>În vederea implementării</w:t>
      </w:r>
      <w:r w:rsidR="001553F1" w:rsidRPr="00CD48F9">
        <w:rPr>
          <w:lang w:val="ro-RO"/>
        </w:rPr>
        <w:t xml:space="preserve"> Planul</w:t>
      </w:r>
      <w:r w:rsidRPr="00CD48F9">
        <w:rPr>
          <w:lang w:val="ro-RO"/>
        </w:rPr>
        <w:t>ui</w:t>
      </w:r>
      <w:r w:rsidR="00F16875" w:rsidRPr="00CD48F9">
        <w:rPr>
          <w:lang w:val="ro-RO"/>
        </w:rPr>
        <w:t xml:space="preserve"> de integritate</w:t>
      </w:r>
      <w:r w:rsidR="001553F1" w:rsidRPr="00CD48F9">
        <w:rPr>
          <w:lang w:val="ro-RO"/>
        </w:rPr>
        <w:t>,</w:t>
      </w:r>
      <w:r w:rsidR="00F16875" w:rsidRPr="00CD48F9">
        <w:rPr>
          <w:lang w:val="ro-RO"/>
        </w:rPr>
        <w:t xml:space="preserve"> aprobat prin Decizia Directorului General al Direcției Naționale de Probațiune nr. 111/22.12.2016, </w:t>
      </w:r>
      <w:r w:rsidR="001553F1" w:rsidRPr="00CD48F9">
        <w:rPr>
          <w:lang w:val="ro-RO"/>
        </w:rPr>
        <w:t>în anul 2019</w:t>
      </w:r>
      <w:r w:rsidRPr="00CD48F9">
        <w:rPr>
          <w:lang w:val="ro-RO"/>
        </w:rPr>
        <w:t xml:space="preserve"> au fost derulate următoarele activități</w:t>
      </w:r>
      <w:r w:rsidR="00F16875" w:rsidRPr="00CD48F9">
        <w:rPr>
          <w:lang w:val="ro-RO"/>
        </w:rPr>
        <w:t>:</w:t>
      </w:r>
    </w:p>
    <w:p w:rsidR="00F16875" w:rsidRPr="00CD48F9" w:rsidRDefault="001553F1" w:rsidP="0080034B">
      <w:pPr>
        <w:pStyle w:val="ListParagraph"/>
        <w:numPr>
          <w:ilvl w:val="0"/>
          <w:numId w:val="10"/>
        </w:numPr>
        <w:spacing w:after="120" w:line="276" w:lineRule="auto"/>
        <w:ind w:left="426" w:hanging="284"/>
        <w:rPr>
          <w:lang w:val="ro-RO"/>
        </w:rPr>
      </w:pPr>
      <w:r w:rsidRPr="00CD48F9">
        <w:rPr>
          <w:lang w:val="ro-RO"/>
        </w:rPr>
        <w:t>p</w:t>
      </w:r>
      <w:r w:rsidR="00F16875" w:rsidRPr="00CD48F9">
        <w:rPr>
          <w:lang w:val="ro-RO"/>
        </w:rPr>
        <w:t>roiectul privind Statutul personalului de probațiune cuprinde noi drepturi pentru personalul de probațiune</w:t>
      </w:r>
      <w:r w:rsidRPr="00CD48F9">
        <w:rPr>
          <w:lang w:val="ro-RO"/>
        </w:rPr>
        <w:t xml:space="preserve"> și</w:t>
      </w:r>
      <w:r w:rsidR="00F16875" w:rsidRPr="00CD48F9">
        <w:rPr>
          <w:lang w:val="ro-RO"/>
        </w:rPr>
        <w:t xml:space="preserve"> se află în pro</w:t>
      </w:r>
      <w:r w:rsidRPr="00CD48F9">
        <w:rPr>
          <w:lang w:val="ro-RO"/>
        </w:rPr>
        <w:t>cedură de avizare la nivelul MJ;</w:t>
      </w:r>
    </w:p>
    <w:p w:rsidR="00F16875" w:rsidRPr="00CD48F9" w:rsidRDefault="00F16875" w:rsidP="0080034B">
      <w:pPr>
        <w:pStyle w:val="ListParagraph"/>
        <w:numPr>
          <w:ilvl w:val="0"/>
          <w:numId w:val="10"/>
        </w:numPr>
        <w:spacing w:after="120" w:line="276" w:lineRule="auto"/>
        <w:ind w:left="426" w:hanging="284"/>
        <w:rPr>
          <w:lang w:val="ro-RO"/>
        </w:rPr>
      </w:pPr>
      <w:r w:rsidRPr="00CD48F9">
        <w:rPr>
          <w:lang w:val="ro-RO"/>
        </w:rPr>
        <w:t>nu au fost organizate reuniuni în vederea analizării situațiilor de incompatibilitate prevăzute de lege, însă au fost formulate răspunsuri la solicitările consilierilor de probațiune referitoare la verificarea s</w:t>
      </w:r>
      <w:r w:rsidR="001A3D21" w:rsidRPr="00CD48F9">
        <w:rPr>
          <w:lang w:val="ro-RO"/>
        </w:rPr>
        <w:t>ituațiilor de incompatibilitate;</w:t>
      </w:r>
    </w:p>
    <w:p w:rsidR="00F16875" w:rsidRPr="00CD48F9" w:rsidRDefault="001553F1" w:rsidP="0080034B">
      <w:pPr>
        <w:pStyle w:val="ListParagraph"/>
        <w:numPr>
          <w:ilvl w:val="0"/>
          <w:numId w:val="10"/>
        </w:numPr>
        <w:spacing w:after="120" w:line="276" w:lineRule="auto"/>
        <w:ind w:left="426" w:hanging="284"/>
        <w:rPr>
          <w:lang w:val="ro-RO"/>
        </w:rPr>
      </w:pPr>
      <w:r w:rsidRPr="00CD48F9">
        <w:rPr>
          <w:lang w:val="ro-RO"/>
        </w:rPr>
        <w:t>prin Decizia</w:t>
      </w:r>
      <w:r w:rsidR="00F16875" w:rsidRPr="00CD48F9">
        <w:rPr>
          <w:lang w:val="ro-RO"/>
        </w:rPr>
        <w:t xml:space="preserve"> Di</w:t>
      </w:r>
      <w:r w:rsidRPr="00CD48F9">
        <w:rPr>
          <w:lang w:val="ro-RO"/>
        </w:rPr>
        <w:t>rectorului General al DNP nr. 170/04.09.2019</w:t>
      </w:r>
      <w:r w:rsidR="00F16875" w:rsidRPr="00CD48F9">
        <w:rPr>
          <w:lang w:val="ro-RO"/>
        </w:rPr>
        <w:t xml:space="preserve"> au fost numiți 2 consilieri de etică și au fost stabilite atribuțiile acestora în raport de categoriile de personal din cadrul sistemului de probațiune pentru care efectuează monitorizarea r</w:t>
      </w:r>
      <w:r w:rsidR="00587E6D" w:rsidRPr="00CD48F9">
        <w:rPr>
          <w:lang w:val="ro-RO"/>
        </w:rPr>
        <w:t>espectării normelor de conduită;</w:t>
      </w:r>
    </w:p>
    <w:p w:rsidR="00414065" w:rsidRPr="00CD48F9" w:rsidRDefault="00587E6D" w:rsidP="0080034B">
      <w:pPr>
        <w:pStyle w:val="ListParagraph"/>
        <w:numPr>
          <w:ilvl w:val="0"/>
          <w:numId w:val="10"/>
        </w:numPr>
        <w:spacing w:after="120" w:line="276" w:lineRule="auto"/>
        <w:ind w:left="426" w:hanging="284"/>
        <w:rPr>
          <w:szCs w:val="20"/>
          <w:lang w:val="ro-RO"/>
        </w:rPr>
      </w:pPr>
      <w:r w:rsidRPr="00CD48F9">
        <w:rPr>
          <w:lang w:val="ro-RO"/>
        </w:rPr>
        <w:t>n</w:t>
      </w:r>
      <w:r w:rsidR="00F16875" w:rsidRPr="00CD48F9">
        <w:rPr>
          <w:lang w:val="ro-RO"/>
        </w:rPr>
        <w:t>ormele/procedurile adaptate domeniului de activitate urmează a fi stabilite după aprobarea Codului deontologi</w:t>
      </w:r>
      <w:r w:rsidRPr="00CD48F9">
        <w:rPr>
          <w:lang w:val="ro-RO"/>
        </w:rPr>
        <w:t>c al personalului de probațiune</w:t>
      </w:r>
      <w:r w:rsidR="00F16875" w:rsidRPr="00CD48F9">
        <w:rPr>
          <w:szCs w:val="20"/>
          <w:lang w:val="ro-RO"/>
        </w:rPr>
        <w:t xml:space="preserve">, ulterior adoptării legii privind statutul personalului de probațiune. </w:t>
      </w:r>
    </w:p>
    <w:p w:rsidR="00414065" w:rsidRPr="00CD48F9" w:rsidRDefault="00414065" w:rsidP="00972E3A">
      <w:pPr>
        <w:pStyle w:val="ListParagraph"/>
        <w:spacing w:after="120" w:line="276" w:lineRule="auto"/>
        <w:ind w:left="426"/>
        <w:rPr>
          <w:szCs w:val="20"/>
          <w:lang w:val="ro-RO"/>
        </w:rPr>
      </w:pP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Institutul Național de Expertize Criminalistice (INEC)</w:t>
      </w:r>
    </w:p>
    <w:p w:rsidR="009E7197" w:rsidRPr="00CD48F9" w:rsidRDefault="009E7197" w:rsidP="00972E3A">
      <w:pPr>
        <w:spacing w:after="120" w:line="276" w:lineRule="auto"/>
        <w:rPr>
          <w:lang w:val="ro-RO"/>
        </w:rPr>
      </w:pPr>
      <w:r w:rsidRPr="00CD48F9">
        <w:rPr>
          <w:lang w:val="ro-RO"/>
        </w:rPr>
        <w:t>În cursul anului 2019</w:t>
      </w:r>
      <w:r w:rsidR="00F16875" w:rsidRPr="00CD48F9">
        <w:rPr>
          <w:lang w:val="ro-RO"/>
        </w:rPr>
        <w:t>, la nivelul acestei instituții au fost întreprinse următoarele activități:</w:t>
      </w:r>
    </w:p>
    <w:p w:rsidR="00390B33" w:rsidRPr="00CD48F9" w:rsidRDefault="009E7197" w:rsidP="0080034B">
      <w:pPr>
        <w:pStyle w:val="ListParagraph"/>
        <w:numPr>
          <w:ilvl w:val="0"/>
          <w:numId w:val="8"/>
        </w:numPr>
        <w:spacing w:after="120" w:line="276" w:lineRule="auto"/>
        <w:ind w:left="426" w:hanging="284"/>
        <w:rPr>
          <w:lang w:val="ro-RO"/>
        </w:rPr>
      </w:pPr>
      <w:r w:rsidRPr="00CD48F9">
        <w:rPr>
          <w:lang w:val="ro-RO"/>
        </w:rPr>
        <w:lastRenderedPageBreak/>
        <w:t xml:space="preserve">în perioada 10 iunie – 19 iunie 2019, </w:t>
      </w:r>
      <w:r w:rsidR="007D342B" w:rsidRPr="00CD48F9">
        <w:rPr>
          <w:lang w:val="ro-RO"/>
        </w:rPr>
        <w:t xml:space="preserve">la nivelul INEC </w:t>
      </w:r>
      <w:r w:rsidRPr="00CD48F9">
        <w:rPr>
          <w:lang w:val="ro-RO"/>
        </w:rPr>
        <w:t>a fost realizată misiunea de audit public intern cu tema “Evaluarea sistem</w:t>
      </w:r>
      <w:r w:rsidR="007D342B" w:rsidRPr="00CD48F9">
        <w:rPr>
          <w:lang w:val="ro-RO"/>
        </w:rPr>
        <w:t xml:space="preserve">ului de prevenire a corupției”, </w:t>
      </w:r>
      <w:r w:rsidRPr="00CD48F9">
        <w:rPr>
          <w:lang w:val="ro-RO"/>
        </w:rPr>
        <w:t xml:space="preserve">derulată de Serviciul Audit Public Intern (SAPI) </w:t>
      </w:r>
      <w:r w:rsidR="007D342B" w:rsidRPr="00CD48F9">
        <w:rPr>
          <w:lang w:val="ro-RO"/>
        </w:rPr>
        <w:t>din cadrul MJ</w:t>
      </w:r>
      <w:r w:rsidRPr="00CD48F9">
        <w:rPr>
          <w:lang w:val="ro-RO"/>
        </w:rPr>
        <w:t>. Temele care au făcut obiectul misiunilor de audit au fost: codul etic/deontologic/de conduită</w:t>
      </w:r>
      <w:r w:rsidR="00644845" w:rsidRPr="00CD48F9">
        <w:rPr>
          <w:lang w:val="ro-RO"/>
        </w:rPr>
        <w:t xml:space="preserve"> (măsură implementată)</w:t>
      </w:r>
      <w:r w:rsidRPr="00CD48F9">
        <w:rPr>
          <w:lang w:val="ro-RO"/>
        </w:rPr>
        <w:t>, consilierul de etică</w:t>
      </w:r>
      <w:r w:rsidR="00644845" w:rsidRPr="00CD48F9">
        <w:rPr>
          <w:lang w:val="ro-RO"/>
        </w:rPr>
        <w:t xml:space="preserve"> (măsură parțial implementată)</w:t>
      </w:r>
      <w:r w:rsidRPr="00CD48F9">
        <w:rPr>
          <w:lang w:val="ro-RO"/>
        </w:rPr>
        <w:t xml:space="preserve"> și funcțiile sensibile</w:t>
      </w:r>
      <w:r w:rsidR="00644845" w:rsidRPr="00CD48F9">
        <w:rPr>
          <w:lang w:val="ro-RO"/>
        </w:rPr>
        <w:t xml:space="preserve"> (măsură parțial implementată)</w:t>
      </w:r>
      <w:r w:rsidR="006C729D" w:rsidRPr="00CD48F9">
        <w:rPr>
          <w:lang w:val="ro-RO"/>
        </w:rPr>
        <w:t>;</w:t>
      </w:r>
      <w:r w:rsidR="00644845" w:rsidRPr="00CD48F9">
        <w:rPr>
          <w:lang w:val="ro-RO"/>
        </w:rPr>
        <w:t xml:space="preserve"> </w:t>
      </w:r>
      <w:r w:rsidR="007D342B" w:rsidRPr="00CD48F9">
        <w:rPr>
          <w:lang w:val="ro-RO"/>
        </w:rPr>
        <w:t xml:space="preserve"> </w:t>
      </w:r>
    </w:p>
    <w:p w:rsidR="00F16875" w:rsidRPr="00CD48F9" w:rsidRDefault="006C729D" w:rsidP="0080034B">
      <w:pPr>
        <w:pStyle w:val="ListParagraph"/>
        <w:numPr>
          <w:ilvl w:val="0"/>
          <w:numId w:val="8"/>
        </w:numPr>
        <w:spacing w:after="120" w:line="276" w:lineRule="auto"/>
        <w:ind w:left="426" w:hanging="284"/>
        <w:rPr>
          <w:lang w:val="ro-RO"/>
        </w:rPr>
      </w:pPr>
      <w:r w:rsidRPr="00CD48F9">
        <w:rPr>
          <w:lang w:val="ro-RO"/>
        </w:rPr>
        <w:t xml:space="preserve">în perioada 19-20 septembrie 2019, a </w:t>
      </w:r>
      <w:r w:rsidR="00390B33" w:rsidRPr="00CD48F9">
        <w:rPr>
          <w:lang w:val="ro-RO"/>
        </w:rPr>
        <w:t>fost organizat examenul pentru atestarea competenței în vederea desemnării, ca expert criminalist autorizat, și acordarea dreptului de a semna în nume propriu rapoartele de expertiză criminalistică, pentru personalul de specialitate criminalistică care îndeplinește condițiile de vechime în activitatea de profil, corespunzătoare tipului de expertiză pentru care candidează, cu respectarea obligațiilor ce au decurs din prevederile regulamentare</w:t>
      </w:r>
      <w:r w:rsidR="00CE3FFD" w:rsidRPr="00CD48F9">
        <w:rPr>
          <w:lang w:val="ro-RO"/>
        </w:rPr>
        <w:t>;</w:t>
      </w:r>
    </w:p>
    <w:p w:rsidR="00CE3FFD" w:rsidRPr="00CD48F9" w:rsidRDefault="00CE3FFD" w:rsidP="0080034B">
      <w:pPr>
        <w:pStyle w:val="ListParagraph"/>
        <w:numPr>
          <w:ilvl w:val="0"/>
          <w:numId w:val="8"/>
        </w:numPr>
        <w:spacing w:after="120" w:line="276" w:lineRule="auto"/>
        <w:ind w:left="426" w:hanging="284"/>
        <w:rPr>
          <w:lang w:val="ro-RO"/>
        </w:rPr>
      </w:pPr>
      <w:r w:rsidRPr="00CD48F9">
        <w:rPr>
          <w:lang w:val="ro-RO"/>
        </w:rPr>
        <w:t>în luna octombrie 2019, a fost organizat concursul pentru ocuparea unor posturi vacante de expert criminalist gradul III și IV la LIEC București, cu respectarea obligațiilor de publicare a informației pe pagina de internet a INEC, într-un cotidian central și la sediile INEC și LIEC București;</w:t>
      </w:r>
    </w:p>
    <w:p w:rsidR="00CE3FFD" w:rsidRPr="00CD48F9" w:rsidRDefault="00CE3FFD" w:rsidP="0080034B">
      <w:pPr>
        <w:pStyle w:val="ListParagraph"/>
        <w:numPr>
          <w:ilvl w:val="0"/>
          <w:numId w:val="8"/>
        </w:numPr>
        <w:spacing w:after="120" w:line="276" w:lineRule="auto"/>
        <w:ind w:left="426" w:hanging="284"/>
        <w:rPr>
          <w:lang w:val="ro-RO"/>
        </w:rPr>
      </w:pPr>
      <w:r w:rsidRPr="00CD48F9">
        <w:rPr>
          <w:lang w:val="ro-RO"/>
        </w:rPr>
        <w:t>în luna octombrie 2019, a fost organizat concursul pentru ocuparea unui post vacant de personal cu funcție contractuală, expert gradul 1A, cu respectarea obligațiilor de publicare a informației pe pagina de internet a INEC, într-un cotidian central și la sediile INEC și LIEC București;</w:t>
      </w:r>
    </w:p>
    <w:p w:rsidR="00D317E7" w:rsidRPr="00CD48F9" w:rsidRDefault="00D317E7" w:rsidP="0080034B">
      <w:pPr>
        <w:pStyle w:val="ListParagraph"/>
        <w:numPr>
          <w:ilvl w:val="0"/>
          <w:numId w:val="8"/>
        </w:numPr>
        <w:spacing w:after="120" w:line="276" w:lineRule="auto"/>
        <w:ind w:left="426" w:hanging="284"/>
        <w:rPr>
          <w:lang w:val="ro-RO"/>
        </w:rPr>
      </w:pPr>
      <w:r w:rsidRPr="00CD48F9">
        <w:rPr>
          <w:lang w:val="ro-RO"/>
        </w:rPr>
        <w:t xml:space="preserve">în perioada 21-22 noiembrie 2019, </w:t>
      </w:r>
      <w:r w:rsidR="00CE3FFD" w:rsidRPr="00CD48F9">
        <w:rPr>
          <w:lang w:val="ro-RO"/>
        </w:rPr>
        <w:t>a fost organizat concursul pentru avansarea în grade profesionale a experților criminaliști care îndeplinesc condițiile prevăzute de lege</w:t>
      </w:r>
      <w:r w:rsidRPr="00CD48F9">
        <w:rPr>
          <w:lang w:val="ro-RO"/>
        </w:rPr>
        <w:t>;</w:t>
      </w:r>
    </w:p>
    <w:p w:rsidR="00D317E7" w:rsidRPr="00CD48F9" w:rsidRDefault="00D317E7" w:rsidP="0080034B">
      <w:pPr>
        <w:pStyle w:val="ListParagraph"/>
        <w:numPr>
          <w:ilvl w:val="0"/>
          <w:numId w:val="8"/>
        </w:numPr>
        <w:spacing w:after="120" w:line="276" w:lineRule="auto"/>
        <w:ind w:left="426" w:hanging="284"/>
        <w:rPr>
          <w:lang w:val="ro-RO"/>
        </w:rPr>
      </w:pPr>
      <w:r w:rsidRPr="00CD48F9">
        <w:rPr>
          <w:lang w:val="ro-RO"/>
        </w:rPr>
        <w:t>a fost desemnată o persoană din cadrul INEC, care să îndeplinească atribuții de consilier de etică și integritate, sarcinile fiind trecute și în fișa postului;</w:t>
      </w:r>
    </w:p>
    <w:p w:rsidR="00CE3FFD" w:rsidRPr="00CD48F9" w:rsidRDefault="00D317E7" w:rsidP="0080034B">
      <w:pPr>
        <w:pStyle w:val="ListParagraph"/>
        <w:numPr>
          <w:ilvl w:val="0"/>
          <w:numId w:val="8"/>
        </w:numPr>
        <w:spacing w:after="120" w:line="276" w:lineRule="auto"/>
        <w:ind w:left="426" w:hanging="284"/>
        <w:rPr>
          <w:lang w:val="ro-RO"/>
        </w:rPr>
      </w:pPr>
      <w:r w:rsidRPr="00CD48F9">
        <w:rPr>
          <w:lang w:val="ro-RO"/>
        </w:rPr>
        <w:t>evaluarea profesională a angajaților s-a făcut potrivit Regulamentului privind procedura de evaluare a performanțelor profesionale ale personalului de specialitate criminalistică, a personalului auxiliar de specialitate criminalistică și a personalului contractual din cadrul INEC și a laboratoarelor din subordine, intrat în vigoare prin Decizia nr. 114/2015.</w:t>
      </w:r>
    </w:p>
    <w:p w:rsidR="00F16875" w:rsidRPr="00CD48F9" w:rsidRDefault="00F16875" w:rsidP="00972E3A">
      <w:pPr>
        <w:pStyle w:val="ListParagraph"/>
        <w:spacing w:after="120" w:line="276" w:lineRule="auto"/>
        <w:ind w:left="714"/>
        <w:rPr>
          <w:lang w:val="ro-RO"/>
        </w:rPr>
      </w:pP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Oficiul Național al Registrului Comerțului (ONRC)</w:t>
      </w:r>
    </w:p>
    <w:p w:rsidR="00F16875" w:rsidRPr="00CD48F9" w:rsidRDefault="00F16875" w:rsidP="00972E3A">
      <w:pPr>
        <w:spacing w:after="120" w:line="276" w:lineRule="auto"/>
        <w:rPr>
          <w:lang w:val="ro-RO"/>
        </w:rPr>
      </w:pPr>
      <w:r w:rsidRPr="00CD48F9">
        <w:rPr>
          <w:lang w:val="ro-RO"/>
        </w:rPr>
        <w:t>Având în vedere măsurile asumate de ONRC în planul propriu de integritate, prezentăm următoarele acțiuni întreprinse</w:t>
      </w:r>
      <w:r w:rsidR="009C6026" w:rsidRPr="00CD48F9">
        <w:rPr>
          <w:lang w:val="ro-RO"/>
        </w:rPr>
        <w:t xml:space="preserve"> în anul 2019</w:t>
      </w:r>
      <w:r w:rsidRPr="00CD48F9">
        <w:rPr>
          <w:lang w:val="ro-RO"/>
        </w:rPr>
        <w:t>:</w:t>
      </w:r>
    </w:p>
    <w:p w:rsidR="00F16875" w:rsidRPr="00CD48F9" w:rsidRDefault="009C6026" w:rsidP="0080034B">
      <w:pPr>
        <w:pStyle w:val="ListParagraph"/>
        <w:numPr>
          <w:ilvl w:val="0"/>
          <w:numId w:val="8"/>
        </w:numPr>
        <w:spacing w:after="120" w:line="276" w:lineRule="auto"/>
        <w:ind w:left="426" w:hanging="284"/>
        <w:rPr>
          <w:lang w:val="ro-RO"/>
        </w:rPr>
      </w:pPr>
      <w:r w:rsidRPr="00CD48F9">
        <w:rPr>
          <w:lang w:val="ro-RO"/>
        </w:rPr>
        <w:t>p</w:t>
      </w:r>
      <w:r w:rsidR="00F16875" w:rsidRPr="00CD48F9">
        <w:rPr>
          <w:lang w:val="ro-RO"/>
        </w:rPr>
        <w:t xml:space="preserve">ublicarea în SEAP, atât la nivelul anunțului/invitației de participare, cât și la nivelul fișei de date a achiziției, a listei salariaților cu funcție de decizie implicați în organizarea, derularea și finalizarea procedurilor de atribuire, astfel încât operatorii economici să poată verifica existența unui eventual conflict de interese, având astfel la dispozițiile informațiile necesare pentru </w:t>
      </w:r>
      <w:r w:rsidR="002A7B6A" w:rsidRPr="00CD48F9">
        <w:rPr>
          <w:lang w:val="ro-RO"/>
        </w:rPr>
        <w:t>semnarea în cunoștință de cauză;</w:t>
      </w:r>
    </w:p>
    <w:p w:rsidR="00F16875" w:rsidRPr="00CD48F9" w:rsidRDefault="009C6026" w:rsidP="0080034B">
      <w:pPr>
        <w:pStyle w:val="ListParagraph"/>
        <w:numPr>
          <w:ilvl w:val="0"/>
          <w:numId w:val="8"/>
        </w:numPr>
        <w:spacing w:after="120" w:line="276" w:lineRule="auto"/>
        <w:ind w:left="426" w:hanging="284"/>
        <w:rPr>
          <w:lang w:val="ro-RO"/>
        </w:rPr>
      </w:pPr>
      <w:r w:rsidRPr="00CD48F9">
        <w:rPr>
          <w:lang w:val="ro-RO"/>
        </w:rPr>
        <w:t>p</w:t>
      </w:r>
      <w:r w:rsidR="00F16875" w:rsidRPr="00CD48F9">
        <w:rPr>
          <w:lang w:val="ro-RO"/>
        </w:rPr>
        <w:t>ublicarea pe pagina de internet a instituției</w:t>
      </w:r>
      <w:r w:rsidR="001A3D21" w:rsidRPr="00CD48F9">
        <w:rPr>
          <w:lang w:val="ro-RO"/>
        </w:rPr>
        <w:t>,</w:t>
      </w:r>
      <w:r w:rsidR="00F16875" w:rsidRPr="00CD48F9">
        <w:rPr>
          <w:lang w:val="ro-RO"/>
        </w:rPr>
        <w:t xml:space="preserve"> a situației contractelor în derul</w:t>
      </w:r>
      <w:r w:rsidR="002A7B6A" w:rsidRPr="00CD48F9">
        <w:rPr>
          <w:lang w:val="ro-RO"/>
        </w:rPr>
        <w:t>are precum și a celor încheiate;</w:t>
      </w:r>
    </w:p>
    <w:p w:rsidR="00F16875" w:rsidRPr="00CD48F9" w:rsidRDefault="009C6026" w:rsidP="0080034B">
      <w:pPr>
        <w:pStyle w:val="ListParagraph"/>
        <w:numPr>
          <w:ilvl w:val="0"/>
          <w:numId w:val="8"/>
        </w:numPr>
        <w:spacing w:after="120" w:line="276" w:lineRule="auto"/>
        <w:ind w:left="426" w:hanging="284"/>
        <w:rPr>
          <w:lang w:val="ro-RO"/>
        </w:rPr>
      </w:pPr>
      <w:r w:rsidRPr="00CD48F9">
        <w:rPr>
          <w:lang w:val="ro-RO"/>
        </w:rPr>
        <w:t>i</w:t>
      </w:r>
      <w:r w:rsidR="00F16875" w:rsidRPr="00CD48F9">
        <w:rPr>
          <w:lang w:val="ro-RO"/>
        </w:rPr>
        <w:t>mplementarea sistemului informatic integrat care are o componentă de repartizare aleatorie a dosarelor spre soluționare, către directorii oficiilor registrului comerțului de pe lângă tribuna</w:t>
      </w:r>
      <w:r w:rsidR="002A7B6A" w:rsidRPr="00CD48F9">
        <w:rPr>
          <w:lang w:val="ro-RO"/>
        </w:rPr>
        <w:t>le sau către persoane desemnate;</w:t>
      </w:r>
    </w:p>
    <w:p w:rsidR="00F16875" w:rsidRPr="00CD48F9" w:rsidRDefault="009C6026" w:rsidP="0080034B">
      <w:pPr>
        <w:pStyle w:val="ListParagraph"/>
        <w:numPr>
          <w:ilvl w:val="0"/>
          <w:numId w:val="8"/>
        </w:numPr>
        <w:spacing w:after="120" w:line="276" w:lineRule="auto"/>
        <w:ind w:left="426" w:hanging="284"/>
        <w:rPr>
          <w:lang w:val="ro-RO"/>
        </w:rPr>
      </w:pPr>
      <w:r w:rsidRPr="00CD48F9">
        <w:rPr>
          <w:lang w:val="ro-RO"/>
        </w:rPr>
        <w:t>c</w:t>
      </w:r>
      <w:r w:rsidR="00F16875" w:rsidRPr="00CD48F9">
        <w:rPr>
          <w:lang w:val="ro-RO"/>
        </w:rPr>
        <w:t>ontinuarea analizei zilnice a normei privind numărul de dosare soluționate la nivelul celor 42 de oficii ale registrului comerțului. Analiza cuprinde inclusiv date cu privire la numărul de conflicte de interese/abțineri în soluționarea cerer</w:t>
      </w:r>
      <w:r w:rsidR="002A7B6A" w:rsidRPr="00CD48F9">
        <w:rPr>
          <w:lang w:val="ro-RO"/>
        </w:rPr>
        <w:t>ilor și delegarea competențelor;</w:t>
      </w:r>
    </w:p>
    <w:p w:rsidR="00F16875" w:rsidRPr="00CD48F9" w:rsidRDefault="002A7B6A" w:rsidP="0080034B">
      <w:pPr>
        <w:pStyle w:val="ListParagraph"/>
        <w:numPr>
          <w:ilvl w:val="0"/>
          <w:numId w:val="8"/>
        </w:numPr>
        <w:spacing w:after="120" w:line="276" w:lineRule="auto"/>
        <w:ind w:left="426" w:hanging="284"/>
        <w:rPr>
          <w:lang w:val="ro-RO"/>
        </w:rPr>
      </w:pPr>
      <w:r w:rsidRPr="00CD48F9">
        <w:rPr>
          <w:lang w:val="ro-RO"/>
        </w:rPr>
        <w:t>a</w:t>
      </w:r>
      <w:r w:rsidR="00F16875" w:rsidRPr="00CD48F9">
        <w:rPr>
          <w:lang w:val="ro-RO"/>
        </w:rPr>
        <w:t xml:space="preserve">sigurarea serviciilor on-line, prin intermediul </w:t>
      </w:r>
      <w:hyperlink r:id="rId11" w:history="1">
        <w:r w:rsidRPr="00CD48F9">
          <w:rPr>
            <w:rStyle w:val="Hyperlink"/>
            <w:lang w:val="ro-RO"/>
          </w:rPr>
          <w:t>https://portal.onrc.ro</w:t>
        </w:r>
      </w:hyperlink>
      <w:r w:rsidRPr="00CD48F9">
        <w:rPr>
          <w:lang w:val="ro-RO"/>
        </w:rPr>
        <w:t>. În acest sens a</w:t>
      </w:r>
      <w:r w:rsidR="00F16875" w:rsidRPr="00CD48F9">
        <w:rPr>
          <w:lang w:val="ro-RO"/>
        </w:rPr>
        <w:t xml:space="preserve">u fost efectuate controale inopinate pentru a reduce riscurile ce ar putea fi generate de </w:t>
      </w:r>
      <w:r w:rsidR="00F16875" w:rsidRPr="00CD48F9">
        <w:rPr>
          <w:lang w:val="ro-RO"/>
        </w:rPr>
        <w:lastRenderedPageBreak/>
        <w:t>breșele de securitate informatică, precum și misiuni de control, respectiv de audit declanșate de Corpul de inspecție generală și de cătr</w:t>
      </w:r>
      <w:r w:rsidRPr="00CD48F9">
        <w:rPr>
          <w:lang w:val="ro-RO"/>
        </w:rPr>
        <w:t>e Serviciul audit public intern;</w:t>
      </w:r>
    </w:p>
    <w:p w:rsidR="002A7B6A" w:rsidRPr="00CD48F9" w:rsidRDefault="002A7B6A" w:rsidP="0080034B">
      <w:pPr>
        <w:pStyle w:val="ListParagraph"/>
        <w:numPr>
          <w:ilvl w:val="0"/>
          <w:numId w:val="8"/>
        </w:numPr>
        <w:spacing w:after="120" w:line="276" w:lineRule="auto"/>
        <w:ind w:left="426" w:hanging="284"/>
        <w:rPr>
          <w:lang w:val="ro-RO"/>
        </w:rPr>
      </w:pPr>
      <w:r w:rsidRPr="00CD48F9">
        <w:rPr>
          <w:lang w:val="ro-RO"/>
        </w:rPr>
        <w:t>p</w:t>
      </w:r>
      <w:r w:rsidR="00F16875" w:rsidRPr="00CD48F9">
        <w:rPr>
          <w:lang w:val="ro-RO"/>
        </w:rPr>
        <w:t>relucrarea personalului cu privire la respectarea prevederilor Regulamentului de organizare și funcționare, ale Regulamentului intern precum și ale Codulu</w:t>
      </w:r>
      <w:r w:rsidRPr="00CD48F9">
        <w:rPr>
          <w:lang w:val="ro-RO"/>
        </w:rPr>
        <w:t>i etic și regulilor de conduită;</w:t>
      </w:r>
    </w:p>
    <w:p w:rsidR="00BD4C04" w:rsidRPr="00CD48F9" w:rsidRDefault="002A7B6A" w:rsidP="0080034B">
      <w:pPr>
        <w:pStyle w:val="ListParagraph"/>
        <w:numPr>
          <w:ilvl w:val="0"/>
          <w:numId w:val="8"/>
        </w:numPr>
        <w:spacing w:after="120" w:line="276" w:lineRule="auto"/>
        <w:ind w:left="426" w:hanging="284"/>
        <w:rPr>
          <w:lang w:val="ro-RO"/>
        </w:rPr>
      </w:pPr>
      <w:r w:rsidRPr="00CD48F9">
        <w:rPr>
          <w:lang w:val="ro-RO"/>
        </w:rPr>
        <w:t xml:space="preserve">în scopul pregătirii </w:t>
      </w:r>
      <w:proofErr w:type="spellStart"/>
      <w:r w:rsidRPr="00CD48F9">
        <w:rPr>
          <w:lang w:val="ro-RO"/>
        </w:rPr>
        <w:t>şi</w:t>
      </w:r>
      <w:proofErr w:type="spellEnd"/>
      <w:r w:rsidRPr="00CD48F9">
        <w:rPr>
          <w:lang w:val="ro-RO"/>
        </w:rPr>
        <w:t xml:space="preserve"> </w:t>
      </w:r>
      <w:proofErr w:type="spellStart"/>
      <w:r w:rsidRPr="00CD48F9">
        <w:rPr>
          <w:lang w:val="ro-RO"/>
        </w:rPr>
        <w:t>perfecţionării</w:t>
      </w:r>
      <w:proofErr w:type="spellEnd"/>
      <w:r w:rsidRPr="00CD48F9">
        <w:rPr>
          <w:lang w:val="ro-RO"/>
        </w:rPr>
        <w:t xml:space="preserve"> specifice a personalului, au fost </w:t>
      </w:r>
      <w:proofErr w:type="spellStart"/>
      <w:r w:rsidRPr="00CD48F9">
        <w:rPr>
          <w:lang w:val="ro-RO"/>
        </w:rPr>
        <w:t>instruiţi</w:t>
      </w:r>
      <w:proofErr w:type="spellEnd"/>
      <w:r w:rsidRPr="00CD48F9">
        <w:rPr>
          <w:lang w:val="ro-RO"/>
        </w:rPr>
        <w:t xml:space="preserve"> 555 de angajați în diferite domenii de activitate, prin intermediul proiectului ”</w:t>
      </w:r>
      <w:r w:rsidRPr="00CD48F9">
        <w:rPr>
          <w:i/>
          <w:lang w:val="ro-RO"/>
        </w:rPr>
        <w:t xml:space="preserve">Consolidarea </w:t>
      </w:r>
      <w:proofErr w:type="spellStart"/>
      <w:r w:rsidRPr="00CD48F9">
        <w:rPr>
          <w:i/>
          <w:lang w:val="ro-RO"/>
        </w:rPr>
        <w:t>capacităţii</w:t>
      </w:r>
      <w:proofErr w:type="spellEnd"/>
      <w:r w:rsidRPr="00CD48F9">
        <w:rPr>
          <w:i/>
          <w:lang w:val="ro-RO"/>
        </w:rPr>
        <w:t xml:space="preserve"> </w:t>
      </w:r>
      <w:proofErr w:type="spellStart"/>
      <w:r w:rsidRPr="00CD48F9">
        <w:rPr>
          <w:i/>
          <w:lang w:val="ro-RO"/>
        </w:rPr>
        <w:t>instituţionale</w:t>
      </w:r>
      <w:proofErr w:type="spellEnd"/>
      <w:r w:rsidRPr="00CD48F9">
        <w:rPr>
          <w:i/>
          <w:lang w:val="ro-RO"/>
        </w:rPr>
        <w:t xml:space="preserve"> a Oficiului </w:t>
      </w:r>
      <w:proofErr w:type="spellStart"/>
      <w:r w:rsidRPr="00CD48F9">
        <w:rPr>
          <w:i/>
          <w:lang w:val="ro-RO"/>
        </w:rPr>
        <w:t>Naţional</w:t>
      </w:r>
      <w:proofErr w:type="spellEnd"/>
      <w:r w:rsidRPr="00CD48F9">
        <w:rPr>
          <w:i/>
          <w:lang w:val="ro-RO"/>
        </w:rPr>
        <w:t xml:space="preserve"> al Registrului </w:t>
      </w:r>
      <w:proofErr w:type="spellStart"/>
      <w:r w:rsidRPr="00CD48F9">
        <w:rPr>
          <w:i/>
          <w:lang w:val="ro-RO"/>
        </w:rPr>
        <w:t>Comerţului</w:t>
      </w:r>
      <w:proofErr w:type="spellEnd"/>
      <w:r w:rsidRPr="00CD48F9">
        <w:rPr>
          <w:i/>
          <w:lang w:val="ro-RO"/>
        </w:rPr>
        <w:t xml:space="preserve">, a Sistemului registrului </w:t>
      </w:r>
      <w:proofErr w:type="spellStart"/>
      <w:r w:rsidRPr="00CD48F9">
        <w:rPr>
          <w:i/>
          <w:lang w:val="ro-RO"/>
        </w:rPr>
        <w:t>comerţului</w:t>
      </w:r>
      <w:proofErr w:type="spellEnd"/>
      <w:r w:rsidRPr="00CD48F9">
        <w:rPr>
          <w:i/>
          <w:lang w:val="ro-RO"/>
        </w:rPr>
        <w:t xml:space="preserve"> </w:t>
      </w:r>
      <w:proofErr w:type="spellStart"/>
      <w:r w:rsidRPr="00CD48F9">
        <w:rPr>
          <w:i/>
          <w:lang w:val="ro-RO"/>
        </w:rPr>
        <w:t>şi</w:t>
      </w:r>
      <w:proofErr w:type="spellEnd"/>
      <w:r w:rsidRPr="00CD48F9">
        <w:rPr>
          <w:i/>
          <w:lang w:val="ro-RO"/>
        </w:rPr>
        <w:t xml:space="preserve"> a sistemului de publicitate legală</w:t>
      </w:r>
      <w:r w:rsidRPr="00CD48F9">
        <w:rPr>
          <w:lang w:val="ro-RO"/>
        </w:rPr>
        <w:t>” - cod SMIS 119317;</w:t>
      </w:r>
    </w:p>
    <w:p w:rsidR="00414065" w:rsidRPr="00CD48F9" w:rsidRDefault="00414065" w:rsidP="00972E3A">
      <w:pPr>
        <w:pStyle w:val="ListParagraph"/>
        <w:spacing w:after="120" w:line="276" w:lineRule="auto"/>
        <w:ind w:left="426"/>
        <w:rPr>
          <w:lang w:val="ro-RO"/>
        </w:rPr>
      </w:pPr>
    </w:p>
    <w:p w:rsidR="00F16875" w:rsidRPr="00CD48F9" w:rsidRDefault="00376BDB" w:rsidP="0080034B">
      <w:pPr>
        <w:pStyle w:val="ListParagraph"/>
        <w:numPr>
          <w:ilvl w:val="0"/>
          <w:numId w:val="7"/>
        </w:numPr>
        <w:spacing w:after="120" w:line="276" w:lineRule="auto"/>
        <w:rPr>
          <w:b/>
          <w:bCs/>
          <w:lang w:val="ro-RO"/>
        </w:rPr>
      </w:pPr>
      <w:r w:rsidRPr="00CD48F9">
        <w:rPr>
          <w:b/>
          <w:bCs/>
          <w:lang w:val="ro-RO"/>
        </w:rPr>
        <w:t>Spitalul Prof. Dr. Constantin Angelescu</w:t>
      </w:r>
    </w:p>
    <w:p w:rsidR="00F16875" w:rsidRPr="00CD48F9" w:rsidRDefault="00F16875" w:rsidP="00972E3A">
      <w:pPr>
        <w:spacing w:after="120" w:line="276" w:lineRule="auto"/>
        <w:rPr>
          <w:lang w:val="ro-RO"/>
        </w:rPr>
      </w:pPr>
      <w:r w:rsidRPr="00CD48F9">
        <w:rPr>
          <w:lang w:val="ro-RO"/>
        </w:rPr>
        <w:t xml:space="preserve">În scopul implementării măsurilor asumate în Planul de integritate al Spitalului Prof. Dr. Constantin </w:t>
      </w:r>
      <w:r w:rsidR="00655660" w:rsidRPr="00CD48F9">
        <w:rPr>
          <w:lang w:val="ro-RO"/>
        </w:rPr>
        <w:t>Angelescu, în cursul anului 2019</w:t>
      </w:r>
      <w:r w:rsidRPr="00CD48F9">
        <w:rPr>
          <w:lang w:val="ro-RO"/>
        </w:rPr>
        <w:t>, la nivelul acestei instituții au fost întreprinse următoarele activități:</w:t>
      </w:r>
    </w:p>
    <w:p w:rsidR="00655660" w:rsidRPr="00CD48F9" w:rsidRDefault="00655660" w:rsidP="0080034B">
      <w:pPr>
        <w:pStyle w:val="ListParagraph"/>
        <w:numPr>
          <w:ilvl w:val="0"/>
          <w:numId w:val="9"/>
        </w:numPr>
        <w:spacing w:after="120" w:line="276" w:lineRule="auto"/>
        <w:ind w:left="426" w:hanging="284"/>
        <w:rPr>
          <w:lang w:val="ro-RO"/>
        </w:rPr>
      </w:pPr>
      <w:r w:rsidRPr="00CD48F9">
        <w:rPr>
          <w:rFonts w:eastAsia="Calibri"/>
          <w:lang w:val="ro-RO"/>
        </w:rPr>
        <w:t>în perioada 10 iunie – 19 iunie 2019, la nivelul instituției a fost realizată misiunea de audit public intern cu tema “</w:t>
      </w:r>
      <w:r w:rsidRPr="00CD48F9">
        <w:rPr>
          <w:rFonts w:eastAsia="Calibri"/>
          <w:i/>
          <w:lang w:val="ro-RO"/>
        </w:rPr>
        <w:t>Evaluarea sistemului de prevenire a corupției</w:t>
      </w:r>
      <w:r w:rsidRPr="00CD48F9">
        <w:rPr>
          <w:rFonts w:eastAsia="Calibri"/>
          <w:lang w:val="ro-RO"/>
        </w:rPr>
        <w:t xml:space="preserve">”, derulată de Serviciul Audit Public Intern (SAPI) din cadrul MJ. Temele care au făcut obiectul misiunilor de audit au fost: </w:t>
      </w:r>
      <w:r w:rsidRPr="00CD48F9">
        <w:rPr>
          <w:rFonts w:eastAsia="Calibri"/>
          <w:i/>
          <w:lang w:val="ro-RO"/>
        </w:rPr>
        <w:t>codul etic/deontologic/de conduită (măsură parțial implementată), consilierul de etică (măsură parțial implementată)</w:t>
      </w:r>
      <w:r w:rsidRPr="00CD48F9">
        <w:rPr>
          <w:rFonts w:eastAsia="Calibri"/>
          <w:lang w:val="ro-RO"/>
        </w:rPr>
        <w:t xml:space="preserve"> și </w:t>
      </w:r>
      <w:r w:rsidRPr="00CD48F9">
        <w:rPr>
          <w:rFonts w:eastAsia="Calibri"/>
          <w:i/>
          <w:lang w:val="ro-RO"/>
        </w:rPr>
        <w:t>funcțiile sensibile (măsură parțial implementată)</w:t>
      </w:r>
    </w:p>
    <w:p w:rsidR="00914641" w:rsidRPr="00CD48F9" w:rsidRDefault="00914641" w:rsidP="0080034B">
      <w:pPr>
        <w:pStyle w:val="ListParagraph"/>
        <w:numPr>
          <w:ilvl w:val="0"/>
          <w:numId w:val="9"/>
        </w:numPr>
        <w:spacing w:after="120" w:line="276" w:lineRule="auto"/>
        <w:ind w:left="426" w:hanging="284"/>
        <w:rPr>
          <w:lang w:val="ro-RO"/>
        </w:rPr>
      </w:pPr>
      <w:r w:rsidRPr="00CD48F9">
        <w:rPr>
          <w:lang w:val="ro-RO"/>
        </w:rPr>
        <w:t>actualizarea permanentă a paginii de internet cu informații de interes public, în conformitate cu Legea nr. 544/2001 (programul anual al achizițiilor publice, posturi vacante scoase la concurs, organigrama, plan de management, plan strategic de dezvoltare 2017-2020, regulamente, declarații de avere și interese, regulamente, declarații</w:t>
      </w:r>
      <w:r w:rsidR="001A3D21" w:rsidRPr="00CD48F9">
        <w:rPr>
          <w:lang w:val="ro-RO"/>
        </w:rPr>
        <w:t xml:space="preserve"> de avere și de interese, etc.);</w:t>
      </w:r>
    </w:p>
    <w:p w:rsidR="00914641" w:rsidRPr="00CD48F9" w:rsidRDefault="00914641" w:rsidP="0080034B">
      <w:pPr>
        <w:pStyle w:val="ListParagraph"/>
        <w:numPr>
          <w:ilvl w:val="0"/>
          <w:numId w:val="9"/>
        </w:numPr>
        <w:spacing w:after="120" w:line="276" w:lineRule="auto"/>
        <w:ind w:left="426" w:hanging="284"/>
        <w:rPr>
          <w:lang w:val="ro-RO"/>
        </w:rPr>
      </w:pPr>
      <w:r w:rsidRPr="00CD48F9">
        <w:rPr>
          <w:lang w:val="ro-RO"/>
        </w:rPr>
        <w:t>publicarea, pe pagina de intranet a instituției, a Codului etic și de deontologie profesională a personalului contractual, ediția a 3-a; publicarea deciziei privind numirea Consiliului etic și atribuțiile acestuia și a rapoartelor de activitate;</w:t>
      </w:r>
    </w:p>
    <w:p w:rsidR="00914641" w:rsidRPr="00CD48F9" w:rsidRDefault="00914641" w:rsidP="0080034B">
      <w:pPr>
        <w:pStyle w:val="ListParagraph"/>
        <w:numPr>
          <w:ilvl w:val="0"/>
          <w:numId w:val="9"/>
        </w:numPr>
        <w:spacing w:after="120" w:line="276" w:lineRule="auto"/>
        <w:ind w:left="426" w:hanging="284"/>
        <w:rPr>
          <w:lang w:val="ro-RO"/>
        </w:rPr>
      </w:pPr>
      <w:r w:rsidRPr="00CD48F9">
        <w:rPr>
          <w:lang w:val="ro-RO"/>
        </w:rPr>
        <w:t>a fost aprobat Regulamentul de organizare și funcționare a Grupului de lucru constituit, prin Decizia nr. 230/2018, în vederea implementării metodologiei de evaluare a riscurilor de corupție; au avut loc întâlniri ale grupului de lucru ce au vizat identificarea și descrierea riscurilor de corupție, cazuistica incidentelor de integritate, analiza eventualelor incidente de integritate;</w:t>
      </w:r>
    </w:p>
    <w:p w:rsidR="00914641" w:rsidRPr="00CD48F9" w:rsidRDefault="001A3D21" w:rsidP="0080034B">
      <w:pPr>
        <w:pStyle w:val="ListParagraph"/>
        <w:numPr>
          <w:ilvl w:val="0"/>
          <w:numId w:val="9"/>
        </w:numPr>
        <w:spacing w:after="120" w:line="276" w:lineRule="auto"/>
        <w:ind w:left="426" w:hanging="284"/>
        <w:rPr>
          <w:lang w:val="ro-RO"/>
        </w:rPr>
      </w:pPr>
      <w:r w:rsidRPr="00CD48F9">
        <w:rPr>
          <w:lang w:val="ro-RO"/>
        </w:rPr>
        <w:t>consilierul de etică</w:t>
      </w:r>
      <w:r w:rsidR="00914641" w:rsidRPr="00CD48F9">
        <w:rPr>
          <w:lang w:val="ro-RO"/>
        </w:rPr>
        <w:t xml:space="preserve"> a întocmit chestionarul de evaluare a nivelului de aplicare a măsurilor cuprinse în SNA 2016-2020, la nivelul instituției, în vederea stabilirii gradului de cunoaștere de către angajați a pericolelor la care se expun în cazul săvârșirii unor fapte de corupție;</w:t>
      </w:r>
    </w:p>
    <w:p w:rsidR="00F16875" w:rsidRPr="00CD48F9" w:rsidRDefault="00914641" w:rsidP="0080034B">
      <w:pPr>
        <w:pStyle w:val="ListParagraph"/>
        <w:numPr>
          <w:ilvl w:val="0"/>
          <w:numId w:val="9"/>
        </w:numPr>
        <w:spacing w:after="120" w:line="276" w:lineRule="auto"/>
        <w:ind w:left="426" w:hanging="284"/>
        <w:rPr>
          <w:lang w:val="ro-RO"/>
        </w:rPr>
      </w:pPr>
      <w:r w:rsidRPr="00CD48F9">
        <w:rPr>
          <w:lang w:val="ro-RO"/>
        </w:rPr>
        <w:t>a</w:t>
      </w:r>
      <w:r w:rsidR="00F16875" w:rsidRPr="00CD48F9">
        <w:rPr>
          <w:lang w:val="ro-RO"/>
        </w:rPr>
        <w:t>sigurarea accesului pacienților la platforma Feedback pacienți, respectiv la chesti</w:t>
      </w:r>
      <w:r w:rsidRPr="00CD48F9">
        <w:rPr>
          <w:lang w:val="ro-RO"/>
        </w:rPr>
        <w:t>onarul de feedback la internare;</w:t>
      </w:r>
    </w:p>
    <w:p w:rsidR="00587E6D" w:rsidRPr="00CD48F9" w:rsidRDefault="00914641" w:rsidP="0080034B">
      <w:pPr>
        <w:pStyle w:val="ListParagraph"/>
        <w:numPr>
          <w:ilvl w:val="0"/>
          <w:numId w:val="9"/>
        </w:numPr>
        <w:spacing w:after="120" w:line="276" w:lineRule="auto"/>
        <w:ind w:left="426" w:hanging="284"/>
        <w:rPr>
          <w:lang w:val="ro-RO"/>
        </w:rPr>
      </w:pPr>
      <w:r w:rsidRPr="00CD48F9">
        <w:rPr>
          <w:lang w:val="ro-RO"/>
        </w:rPr>
        <w:t>p</w:t>
      </w:r>
      <w:r w:rsidR="00F16875" w:rsidRPr="00CD48F9">
        <w:rPr>
          <w:lang w:val="ro-RO"/>
        </w:rPr>
        <w:t>ublicarea raportului de activitate atât pe pagina de internet a instituției cât și pe intranet, efectuarea de achiziții prin SEAP, publicarea Programului anual al achizițiilo</w:t>
      </w:r>
      <w:r w:rsidRPr="00CD48F9">
        <w:rPr>
          <w:lang w:val="ro-RO"/>
        </w:rPr>
        <w:t>r publice pe pagina de internet.</w:t>
      </w:r>
    </w:p>
    <w:p w:rsidR="006E270E" w:rsidRPr="00CD48F9" w:rsidRDefault="0077620F" w:rsidP="00972E3A">
      <w:pPr>
        <w:pStyle w:val="Title"/>
        <w:spacing w:before="0" w:after="120" w:line="276" w:lineRule="auto"/>
        <w:jc w:val="both"/>
        <w:rPr>
          <w:rFonts w:ascii="Trebuchet MS" w:eastAsia="MS Mincho" w:hAnsi="Trebuchet MS"/>
          <w:bCs w:val="0"/>
          <w:kern w:val="0"/>
          <w:sz w:val="22"/>
          <w:szCs w:val="22"/>
          <w:lang w:val="ro-RO"/>
        </w:rPr>
      </w:pPr>
      <w:bookmarkStart w:id="35" w:name="_Toc3376536"/>
      <w:r w:rsidRPr="00CD48F9">
        <w:rPr>
          <w:rFonts w:ascii="Trebuchet MS" w:hAnsi="Trebuchet MS"/>
          <w:sz w:val="22"/>
          <w:szCs w:val="22"/>
          <w:lang w:val="ro-RO"/>
        </w:rPr>
        <w:t xml:space="preserve">11. </w:t>
      </w:r>
      <w:r w:rsidR="00660132" w:rsidRPr="00CD48F9">
        <w:rPr>
          <w:rFonts w:ascii="Trebuchet MS" w:eastAsia="MS Mincho" w:hAnsi="Trebuchet MS"/>
          <w:bCs w:val="0"/>
          <w:kern w:val="0"/>
          <w:sz w:val="22"/>
          <w:szCs w:val="22"/>
          <w:lang w:val="ro-RO"/>
        </w:rPr>
        <w:t>Anex</w:t>
      </w:r>
      <w:bookmarkEnd w:id="35"/>
      <w:r w:rsidR="00E83574" w:rsidRPr="00CD48F9">
        <w:rPr>
          <w:rFonts w:ascii="Trebuchet MS" w:eastAsia="MS Mincho" w:hAnsi="Trebuchet MS"/>
          <w:bCs w:val="0"/>
          <w:kern w:val="0"/>
          <w:sz w:val="22"/>
          <w:szCs w:val="22"/>
          <w:lang w:val="ro-RO"/>
        </w:rPr>
        <w:t>ă</w:t>
      </w:r>
    </w:p>
    <w:p w:rsidR="002D3BFC" w:rsidRPr="001A37B7" w:rsidRDefault="00FC1FEA" w:rsidP="00FD41D7">
      <w:pPr>
        <w:pStyle w:val="Title"/>
        <w:spacing w:before="0" w:after="120" w:line="276" w:lineRule="auto"/>
        <w:jc w:val="both"/>
        <w:rPr>
          <w:rFonts w:ascii="Trebuchet MS" w:eastAsia="MS Mincho" w:hAnsi="Trebuchet MS"/>
          <w:b w:val="0"/>
          <w:bCs w:val="0"/>
          <w:kern w:val="0"/>
          <w:sz w:val="22"/>
          <w:szCs w:val="22"/>
          <w:lang w:val="ro-RO"/>
        </w:rPr>
      </w:pPr>
      <w:r w:rsidRPr="00CD48F9">
        <w:rPr>
          <w:rFonts w:ascii="Trebuchet MS" w:eastAsia="MS Mincho" w:hAnsi="Trebuchet MS"/>
          <w:b w:val="0"/>
          <w:bCs w:val="0"/>
          <w:kern w:val="0"/>
          <w:sz w:val="22"/>
          <w:szCs w:val="22"/>
          <w:lang w:val="ro-RO"/>
        </w:rPr>
        <w:t>Inventarul măsurilor de transparență instituțională și prevenire a corupției la nivelul MJ</w:t>
      </w:r>
      <w:r w:rsidR="00596F2C" w:rsidRPr="00CD48F9">
        <w:rPr>
          <w:rFonts w:ascii="Trebuchet MS" w:eastAsia="MS Mincho" w:hAnsi="Trebuchet MS"/>
          <w:b w:val="0"/>
          <w:bCs w:val="0"/>
          <w:kern w:val="0"/>
          <w:sz w:val="22"/>
          <w:szCs w:val="22"/>
          <w:lang w:val="ro-RO"/>
        </w:rPr>
        <w:t xml:space="preserve"> și al structurilor subordonate,</w:t>
      </w:r>
      <w:r w:rsidR="00414065" w:rsidRPr="00CD48F9">
        <w:rPr>
          <w:rFonts w:ascii="Trebuchet MS" w:eastAsia="MS Mincho" w:hAnsi="Trebuchet MS"/>
          <w:b w:val="0"/>
          <w:bCs w:val="0"/>
          <w:kern w:val="0"/>
          <w:sz w:val="22"/>
          <w:szCs w:val="22"/>
          <w:lang w:val="ro-RO"/>
        </w:rPr>
        <w:t xml:space="preserve"> pentru anul 2019</w:t>
      </w:r>
      <w:r w:rsidR="006E270E" w:rsidRPr="00CD48F9">
        <w:rPr>
          <w:rFonts w:ascii="Trebuchet MS" w:eastAsia="MS Mincho" w:hAnsi="Trebuchet MS"/>
          <w:b w:val="0"/>
          <w:bCs w:val="0"/>
          <w:kern w:val="0"/>
          <w:sz w:val="22"/>
          <w:szCs w:val="22"/>
          <w:lang w:val="ro-RO"/>
        </w:rPr>
        <w:t>.</w:t>
      </w:r>
    </w:p>
    <w:sectPr w:rsidR="002D3BFC" w:rsidRPr="001A37B7" w:rsidSect="001A3D21">
      <w:headerReference w:type="default" r:id="rId12"/>
      <w:footerReference w:type="default" r:id="rId13"/>
      <w:headerReference w:type="first" r:id="rId14"/>
      <w:footerReference w:type="first" r:id="rId15"/>
      <w:pgSz w:w="11900" w:h="16840" w:code="9"/>
      <w:pgMar w:top="1080" w:right="567" w:bottom="270" w:left="2268" w:header="360" w:footer="2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75" w:rsidRDefault="003E3A75" w:rsidP="00CD5B3B">
      <w:r>
        <w:separator/>
      </w:r>
    </w:p>
  </w:endnote>
  <w:endnote w:type="continuationSeparator" w:id="0">
    <w:p w:rsidR="003E3A75" w:rsidRDefault="003E3A7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701" w:type="dxa"/>
      <w:tblLook w:val="04A0" w:firstRow="1" w:lastRow="0" w:firstColumn="1" w:lastColumn="0" w:noHBand="0" w:noVBand="1"/>
    </w:tblPr>
    <w:tblGrid>
      <w:gridCol w:w="1566"/>
      <w:gridCol w:w="5986"/>
      <w:gridCol w:w="3221"/>
    </w:tblGrid>
    <w:tr w:rsidR="002F11E7" w:rsidRPr="00B356E9" w:rsidTr="00330F53">
      <w:tc>
        <w:tcPr>
          <w:tcW w:w="1566" w:type="dxa"/>
          <w:shd w:val="clear" w:color="auto" w:fill="auto"/>
        </w:tcPr>
        <w:p w:rsidR="002F11E7" w:rsidRPr="00036CF6" w:rsidRDefault="002F11E7" w:rsidP="00036CF6">
          <w:pPr>
            <w:tabs>
              <w:tab w:val="center" w:pos="4536"/>
              <w:tab w:val="right" w:pos="9072"/>
            </w:tabs>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2F11E7" w:rsidRPr="00A15F97" w:rsidRDefault="002F11E7" w:rsidP="00036CF6">
          <w:pPr>
            <w:tabs>
              <w:tab w:val="center" w:pos="4536"/>
              <w:tab w:val="right" w:pos="9072"/>
            </w:tabs>
            <w:jc w:val="left"/>
            <w:rPr>
              <w:sz w:val="14"/>
              <w:szCs w:val="14"/>
              <w:lang w:val="ro-RO"/>
            </w:rPr>
          </w:pPr>
          <w:r w:rsidRPr="00A15F97">
            <w:rPr>
              <w:sz w:val="14"/>
              <w:szCs w:val="14"/>
              <w:lang w:val="ro-RO"/>
            </w:rPr>
            <w:t>Str. Apolodor nr. 17, sector 5, 050741 București, România</w:t>
          </w:r>
        </w:p>
        <w:p w:rsidR="002F11E7" w:rsidRPr="00A15F97" w:rsidRDefault="002F11E7" w:rsidP="00036CF6">
          <w:pPr>
            <w:tabs>
              <w:tab w:val="center" w:pos="4320"/>
              <w:tab w:val="right" w:pos="8640"/>
            </w:tabs>
            <w:rPr>
              <w:sz w:val="14"/>
              <w:szCs w:val="14"/>
              <w:lang w:val="ro-RO"/>
            </w:rPr>
          </w:pPr>
          <w:r w:rsidRPr="00A15F97">
            <w:rPr>
              <w:sz w:val="14"/>
              <w:szCs w:val="14"/>
              <w:lang w:val="ro-RO"/>
            </w:rPr>
            <w:t>Tel. +4 037 204 1999</w:t>
          </w:r>
        </w:p>
        <w:p w:rsidR="002F11E7" w:rsidRPr="00036CF6" w:rsidRDefault="003E3A75" w:rsidP="00036CF6">
          <w:pPr>
            <w:tabs>
              <w:tab w:val="center" w:pos="4320"/>
              <w:tab w:val="right" w:pos="8640"/>
            </w:tabs>
            <w:rPr>
              <w:rFonts w:ascii="Arial" w:eastAsia="Times New Roman" w:hAnsi="Arial" w:cs="Arial"/>
              <w:b/>
              <w:color w:val="003366"/>
              <w:sz w:val="16"/>
              <w:szCs w:val="16"/>
              <w:lang w:val="ro-RO" w:eastAsia="ro-RO"/>
            </w:rPr>
          </w:pPr>
          <w:hyperlink r:id="rId1" w:history="1">
            <w:r w:rsidR="002F11E7" w:rsidRPr="00A15F97">
              <w:rPr>
                <w:color w:val="0000FF" w:themeColor="hyperlink"/>
                <w:sz w:val="14"/>
                <w:szCs w:val="14"/>
                <w:u w:val="single"/>
                <w:lang w:val="ro-RO"/>
              </w:rPr>
              <w:t>www.just.ro</w:t>
            </w:r>
          </w:hyperlink>
        </w:p>
      </w:tc>
      <w:tc>
        <w:tcPr>
          <w:tcW w:w="3221" w:type="dxa"/>
          <w:shd w:val="clear" w:color="auto" w:fill="auto"/>
          <w:vAlign w:val="center"/>
        </w:tcPr>
        <w:p w:rsidR="002F11E7" w:rsidRPr="00763EB6" w:rsidRDefault="002F11E7" w:rsidP="00036CF6">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00C1111E" w:rsidRPr="00036CF6">
            <w:rPr>
              <w:sz w:val="14"/>
              <w:szCs w:val="14"/>
            </w:rPr>
            <w:fldChar w:fldCharType="begin"/>
          </w:r>
          <w:r w:rsidRPr="00763EB6">
            <w:rPr>
              <w:sz w:val="14"/>
              <w:szCs w:val="14"/>
              <w:lang w:val="es-ES"/>
            </w:rPr>
            <w:instrText xml:space="preserve"> PAGE </w:instrText>
          </w:r>
          <w:r w:rsidR="00C1111E" w:rsidRPr="00036CF6">
            <w:rPr>
              <w:sz w:val="14"/>
              <w:szCs w:val="14"/>
            </w:rPr>
            <w:fldChar w:fldCharType="separate"/>
          </w:r>
          <w:r w:rsidR="00764F6F">
            <w:rPr>
              <w:noProof/>
              <w:sz w:val="14"/>
              <w:szCs w:val="14"/>
              <w:lang w:val="es-ES"/>
            </w:rPr>
            <w:t>18</w:t>
          </w:r>
          <w:r w:rsidR="00C1111E" w:rsidRPr="00036CF6">
            <w:rPr>
              <w:sz w:val="14"/>
              <w:szCs w:val="14"/>
            </w:rPr>
            <w:fldChar w:fldCharType="end"/>
          </w:r>
          <w:r w:rsidRPr="00763EB6">
            <w:rPr>
              <w:sz w:val="14"/>
              <w:szCs w:val="14"/>
              <w:lang w:val="es-ES"/>
            </w:rPr>
            <w:t xml:space="preserve"> din </w:t>
          </w:r>
          <w:fldSimple w:instr=" SECTIONPAGES   \* MERGEFORMAT ">
            <w:r w:rsidR="009F57FE" w:rsidRPr="009F57FE">
              <w:rPr>
                <w:noProof/>
                <w:sz w:val="14"/>
                <w:szCs w:val="14"/>
                <w:lang w:val="es-ES"/>
              </w:rPr>
              <w:t>31</w:t>
            </w:r>
          </w:fldSimple>
        </w:p>
        <w:p w:rsidR="002F11E7" w:rsidRPr="00763EB6" w:rsidRDefault="002F11E7" w:rsidP="00036CF6">
          <w:pPr>
            <w:tabs>
              <w:tab w:val="center" w:pos="4536"/>
              <w:tab w:val="right" w:pos="9072"/>
            </w:tabs>
            <w:jc w:val="right"/>
            <w:rPr>
              <w:sz w:val="14"/>
              <w:szCs w:val="14"/>
              <w:lang w:val="es-ES"/>
            </w:rPr>
          </w:pPr>
        </w:p>
        <w:p w:rsidR="002F11E7" w:rsidRPr="00036CF6" w:rsidRDefault="002F11E7" w:rsidP="00036CF6">
          <w:pPr>
            <w:tabs>
              <w:tab w:val="center" w:pos="4536"/>
              <w:tab w:val="right" w:pos="9072"/>
            </w:tabs>
            <w:jc w:val="right"/>
            <w:rPr>
              <w:rFonts w:ascii="Arial" w:eastAsia="Times New Roman" w:hAnsi="Arial" w:cs="Arial"/>
              <w:b/>
              <w:sz w:val="16"/>
              <w:szCs w:val="16"/>
              <w:lang w:val="ro-RO" w:eastAsia="ro-RO"/>
            </w:rPr>
          </w:pPr>
        </w:p>
      </w:tc>
    </w:tr>
  </w:tbl>
  <w:p w:rsidR="002F11E7" w:rsidRPr="008A6108" w:rsidRDefault="002F11E7" w:rsidP="00E80D5E">
    <w:pPr>
      <w:pStyle w:val="Footer"/>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701" w:type="dxa"/>
      <w:tblLook w:val="04A0" w:firstRow="1" w:lastRow="0" w:firstColumn="1" w:lastColumn="0" w:noHBand="0" w:noVBand="1"/>
    </w:tblPr>
    <w:tblGrid>
      <w:gridCol w:w="1566"/>
      <w:gridCol w:w="5986"/>
      <w:gridCol w:w="3221"/>
    </w:tblGrid>
    <w:tr w:rsidR="002F11E7" w:rsidRPr="00B356E9" w:rsidTr="00F448C2">
      <w:tc>
        <w:tcPr>
          <w:tcW w:w="1566" w:type="dxa"/>
          <w:shd w:val="clear" w:color="auto" w:fill="auto"/>
        </w:tcPr>
        <w:p w:rsidR="002F11E7" w:rsidRPr="00036CF6" w:rsidRDefault="002F11E7" w:rsidP="00036CF6">
          <w:pPr>
            <w:tabs>
              <w:tab w:val="center" w:pos="4536"/>
              <w:tab w:val="right" w:pos="9072"/>
            </w:tabs>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2F11E7" w:rsidRPr="00A15F97" w:rsidRDefault="002F11E7" w:rsidP="00036CF6">
          <w:pPr>
            <w:tabs>
              <w:tab w:val="center" w:pos="4536"/>
              <w:tab w:val="right" w:pos="9072"/>
            </w:tabs>
            <w:jc w:val="left"/>
            <w:rPr>
              <w:sz w:val="14"/>
              <w:szCs w:val="14"/>
              <w:lang w:val="ro-RO"/>
            </w:rPr>
          </w:pPr>
          <w:r w:rsidRPr="00A15F97">
            <w:rPr>
              <w:sz w:val="14"/>
              <w:szCs w:val="14"/>
              <w:lang w:val="ro-RO"/>
            </w:rPr>
            <w:t>Str. Apolodor nr. 17, sector 5, 050741 București, România</w:t>
          </w:r>
        </w:p>
        <w:p w:rsidR="002F11E7" w:rsidRPr="00A15F97" w:rsidRDefault="002F11E7" w:rsidP="00036CF6">
          <w:pPr>
            <w:tabs>
              <w:tab w:val="center" w:pos="4320"/>
              <w:tab w:val="right" w:pos="8640"/>
            </w:tabs>
            <w:rPr>
              <w:sz w:val="14"/>
              <w:szCs w:val="14"/>
              <w:lang w:val="ro-RO"/>
            </w:rPr>
          </w:pPr>
          <w:r w:rsidRPr="00A15F97">
            <w:rPr>
              <w:sz w:val="14"/>
              <w:szCs w:val="14"/>
              <w:lang w:val="ro-RO"/>
            </w:rPr>
            <w:t>Tel. +4 037 204 1999</w:t>
          </w:r>
        </w:p>
        <w:p w:rsidR="002F11E7" w:rsidRPr="00036CF6" w:rsidRDefault="003E3A75" w:rsidP="000071D1">
          <w:pPr>
            <w:tabs>
              <w:tab w:val="center" w:pos="4320"/>
              <w:tab w:val="right" w:pos="8640"/>
            </w:tabs>
            <w:rPr>
              <w:rFonts w:ascii="Arial" w:eastAsia="Times New Roman" w:hAnsi="Arial" w:cs="Arial"/>
              <w:b/>
              <w:color w:val="003366"/>
              <w:sz w:val="16"/>
              <w:szCs w:val="16"/>
              <w:lang w:val="ro-RO" w:eastAsia="ro-RO"/>
            </w:rPr>
          </w:pPr>
          <w:hyperlink r:id="rId1" w:history="1">
            <w:r w:rsidR="002F11E7" w:rsidRPr="00A15F97">
              <w:rPr>
                <w:color w:val="0000FF" w:themeColor="hyperlink"/>
                <w:sz w:val="14"/>
                <w:szCs w:val="14"/>
                <w:u w:val="single"/>
                <w:lang w:val="ro-RO"/>
              </w:rPr>
              <w:t>www.just.ro</w:t>
            </w:r>
          </w:hyperlink>
        </w:p>
      </w:tc>
      <w:tc>
        <w:tcPr>
          <w:tcW w:w="3221" w:type="dxa"/>
          <w:shd w:val="clear" w:color="auto" w:fill="auto"/>
        </w:tcPr>
        <w:p w:rsidR="002F11E7" w:rsidRPr="00763EB6" w:rsidRDefault="002F11E7" w:rsidP="00036CF6">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00C1111E" w:rsidRPr="00036CF6">
            <w:rPr>
              <w:sz w:val="14"/>
              <w:szCs w:val="14"/>
            </w:rPr>
            <w:fldChar w:fldCharType="begin"/>
          </w:r>
          <w:r w:rsidRPr="00763EB6">
            <w:rPr>
              <w:sz w:val="14"/>
              <w:szCs w:val="14"/>
              <w:lang w:val="es-ES"/>
            </w:rPr>
            <w:instrText xml:space="preserve"> PAGE </w:instrText>
          </w:r>
          <w:r w:rsidR="00C1111E" w:rsidRPr="00036CF6">
            <w:rPr>
              <w:sz w:val="14"/>
              <w:szCs w:val="14"/>
            </w:rPr>
            <w:fldChar w:fldCharType="separate"/>
          </w:r>
          <w:r w:rsidR="00764F6F">
            <w:rPr>
              <w:noProof/>
              <w:sz w:val="14"/>
              <w:szCs w:val="14"/>
              <w:lang w:val="es-ES"/>
            </w:rPr>
            <w:t>1</w:t>
          </w:r>
          <w:r w:rsidR="00C1111E" w:rsidRPr="00036CF6">
            <w:rPr>
              <w:sz w:val="14"/>
              <w:szCs w:val="14"/>
            </w:rPr>
            <w:fldChar w:fldCharType="end"/>
          </w:r>
          <w:r w:rsidRPr="00763EB6">
            <w:rPr>
              <w:sz w:val="14"/>
              <w:szCs w:val="14"/>
              <w:lang w:val="es-ES"/>
            </w:rPr>
            <w:t xml:space="preserve"> din </w:t>
          </w:r>
          <w:fldSimple w:instr=" SECTIONPAGES   \* MERGEFORMAT ">
            <w:r w:rsidR="009F57FE" w:rsidRPr="009F57FE">
              <w:rPr>
                <w:noProof/>
                <w:sz w:val="14"/>
                <w:szCs w:val="14"/>
                <w:lang w:val="es-ES"/>
              </w:rPr>
              <w:t>31</w:t>
            </w:r>
          </w:fldSimple>
        </w:p>
        <w:p w:rsidR="002F11E7" w:rsidRPr="00763EB6" w:rsidRDefault="002F11E7" w:rsidP="00036CF6">
          <w:pPr>
            <w:tabs>
              <w:tab w:val="center" w:pos="4536"/>
              <w:tab w:val="right" w:pos="9072"/>
            </w:tabs>
            <w:jc w:val="right"/>
            <w:rPr>
              <w:sz w:val="14"/>
              <w:szCs w:val="14"/>
              <w:lang w:val="es-ES"/>
            </w:rPr>
          </w:pPr>
        </w:p>
        <w:p w:rsidR="002F11E7" w:rsidRPr="00036CF6" w:rsidRDefault="002F11E7" w:rsidP="003D5AD7">
          <w:pPr>
            <w:tabs>
              <w:tab w:val="center" w:pos="4536"/>
              <w:tab w:val="right" w:pos="9072"/>
            </w:tabs>
            <w:jc w:val="right"/>
            <w:rPr>
              <w:rFonts w:ascii="Arial" w:eastAsia="Times New Roman" w:hAnsi="Arial" w:cs="Arial"/>
              <w:b/>
              <w:sz w:val="16"/>
              <w:szCs w:val="16"/>
              <w:lang w:val="ro-RO" w:eastAsia="ro-RO"/>
            </w:rPr>
          </w:pPr>
        </w:p>
      </w:tc>
    </w:tr>
  </w:tbl>
  <w:p w:rsidR="002F11E7" w:rsidRPr="008A6108" w:rsidRDefault="002F11E7" w:rsidP="00036CF6">
    <w:pPr>
      <w:pStyle w:val="Footer"/>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75" w:rsidRDefault="003E3A75" w:rsidP="00CD5B3B">
      <w:r>
        <w:separator/>
      </w:r>
    </w:p>
  </w:footnote>
  <w:footnote w:type="continuationSeparator" w:id="0">
    <w:p w:rsidR="003E3A75" w:rsidRDefault="003E3A75" w:rsidP="00CD5B3B">
      <w:r>
        <w:continuationSeparator/>
      </w:r>
    </w:p>
  </w:footnote>
  <w:footnote w:id="1">
    <w:p w:rsidR="002F11E7" w:rsidRPr="00615422" w:rsidRDefault="002F11E7" w:rsidP="007D0D8C">
      <w:pPr>
        <w:rPr>
          <w:rFonts w:eastAsia="Times New Roman" w:cs="Arial"/>
          <w:b/>
          <w:bCs/>
          <w:color w:val="000000"/>
          <w:sz w:val="16"/>
          <w:szCs w:val="16"/>
        </w:rPr>
      </w:pPr>
      <w:r w:rsidRPr="00615422">
        <w:rPr>
          <w:rStyle w:val="FootnoteReference"/>
          <w:sz w:val="18"/>
          <w:szCs w:val="18"/>
        </w:rPr>
        <w:footnoteRef/>
      </w:r>
      <w:r w:rsidRPr="00615422">
        <w:rPr>
          <w:sz w:val="16"/>
          <w:szCs w:val="16"/>
        </w:rPr>
        <w:t xml:space="preserve"> </w:t>
      </w:r>
      <w:r w:rsidRPr="00615422">
        <w:rPr>
          <w:sz w:val="16"/>
          <w:szCs w:val="16"/>
          <w:lang w:val="ro-RO"/>
        </w:rPr>
        <w:t>Hotărârea nr. 583/2016 privind aprobarea Strategiei naţionale anticorupţie pe perioada 2016-2020, a seturilo</w:t>
      </w:r>
      <w:r>
        <w:rPr>
          <w:sz w:val="16"/>
          <w:szCs w:val="16"/>
          <w:lang w:val="ro-RO"/>
        </w:rPr>
        <w:t xml:space="preserve">r de indicatori de performanţă, </w:t>
      </w:r>
      <w:r w:rsidRPr="00615422">
        <w:rPr>
          <w:sz w:val="16"/>
          <w:szCs w:val="16"/>
          <w:lang w:val="ro-RO"/>
        </w:rPr>
        <w:t>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footnote>
  <w:footnote w:id="2">
    <w:p w:rsidR="002F11E7" w:rsidRDefault="002F11E7" w:rsidP="007D0D8C">
      <w:pPr>
        <w:pStyle w:val="FootnoteText"/>
        <w:spacing w:after="0" w:line="240" w:lineRule="auto"/>
      </w:pPr>
      <w:r>
        <w:rPr>
          <w:rStyle w:val="FootnoteReference"/>
        </w:rPr>
        <w:footnoteRef/>
      </w:r>
      <w:r>
        <w:t xml:space="preserve"> Obiectiv general 6 - </w:t>
      </w:r>
      <w:r w:rsidRPr="004C2253">
        <w:rPr>
          <w:i/>
          <w:szCs w:val="16"/>
        </w:rPr>
        <w:t>Creșterea gradului de implementare a măsurilor anticorupție prin aprobarea planului de integritate și autoevaluarea periodică la nivelul tuturor instituțiilor publice centrale și locale, inclusiv a celor subordonate, coordonate, aflate sub autoritate, precum și a întreprinderilor publice</w:t>
      </w:r>
    </w:p>
  </w:footnote>
  <w:footnote w:id="3">
    <w:p w:rsidR="002F11E7" w:rsidRPr="00615422" w:rsidRDefault="002F11E7" w:rsidP="007D0D8C">
      <w:pPr>
        <w:pStyle w:val="FootnoteText"/>
        <w:spacing w:after="0" w:line="240" w:lineRule="auto"/>
        <w:rPr>
          <w:szCs w:val="16"/>
        </w:rPr>
      </w:pPr>
      <w:r w:rsidRPr="00615422">
        <w:rPr>
          <w:rStyle w:val="FootnoteReference"/>
          <w:sz w:val="18"/>
          <w:szCs w:val="18"/>
        </w:rPr>
        <w:footnoteRef/>
      </w:r>
      <w:r w:rsidRPr="00615422">
        <w:rPr>
          <w:szCs w:val="16"/>
        </w:rPr>
        <w:t xml:space="preserve"> Platforma </w:t>
      </w:r>
      <w:r w:rsidRPr="00615422">
        <w:rPr>
          <w:szCs w:val="16"/>
        </w:rPr>
        <w:t>autorităţilor independente şi a instituţiilor anticorupţie</w:t>
      </w:r>
    </w:p>
    <w:p w:rsidR="002F11E7" w:rsidRPr="00615422" w:rsidRDefault="002F11E7" w:rsidP="007D0D8C">
      <w:pPr>
        <w:pStyle w:val="FootnoteText"/>
        <w:spacing w:after="0" w:line="240" w:lineRule="auto"/>
        <w:rPr>
          <w:szCs w:val="16"/>
        </w:rPr>
      </w:pPr>
      <w:r w:rsidRPr="00615422">
        <w:rPr>
          <w:szCs w:val="16"/>
        </w:rPr>
        <w:t xml:space="preserve">  Platforma administraţiei publice centrale</w:t>
      </w:r>
    </w:p>
    <w:p w:rsidR="002F11E7" w:rsidRPr="00615422" w:rsidRDefault="002F11E7" w:rsidP="007D0D8C">
      <w:pPr>
        <w:pStyle w:val="FootnoteText"/>
        <w:spacing w:after="0" w:line="240" w:lineRule="auto"/>
        <w:rPr>
          <w:szCs w:val="16"/>
        </w:rPr>
      </w:pPr>
      <w:r w:rsidRPr="00615422">
        <w:rPr>
          <w:szCs w:val="16"/>
        </w:rPr>
        <w:t xml:space="preserve">  Platforma administraţiei publice locale – coordonată în parteneriat cu MDRAP</w:t>
      </w:r>
    </w:p>
    <w:p w:rsidR="002F11E7" w:rsidRPr="00615422" w:rsidRDefault="002F11E7" w:rsidP="007D0D8C">
      <w:pPr>
        <w:pStyle w:val="FootnoteText"/>
        <w:spacing w:after="0" w:line="240" w:lineRule="auto"/>
        <w:rPr>
          <w:szCs w:val="16"/>
        </w:rPr>
      </w:pPr>
      <w:r w:rsidRPr="00615422">
        <w:rPr>
          <w:szCs w:val="16"/>
        </w:rPr>
        <w:t xml:space="preserve">  Platforma mediului de afaceri</w:t>
      </w:r>
    </w:p>
    <w:p w:rsidR="002F11E7" w:rsidRPr="001C7596" w:rsidRDefault="002F11E7" w:rsidP="007D0D8C">
      <w:pPr>
        <w:pStyle w:val="FootnoteText"/>
        <w:spacing w:after="0" w:line="240" w:lineRule="auto"/>
        <w:rPr>
          <w:lang w:val="fr-FR"/>
        </w:rPr>
      </w:pPr>
      <w:r w:rsidRPr="00615422">
        <w:rPr>
          <w:szCs w:val="16"/>
        </w:rPr>
        <w:t xml:space="preserve">  Platforma societăţii civile</w:t>
      </w:r>
    </w:p>
  </w:footnote>
  <w:footnote w:id="4">
    <w:p w:rsidR="002F11E7" w:rsidRDefault="002F11E7" w:rsidP="00661064">
      <w:pPr>
        <w:pStyle w:val="FootnoteText"/>
        <w:spacing w:after="0" w:line="240" w:lineRule="auto"/>
      </w:pPr>
      <w:r>
        <w:rPr>
          <w:rStyle w:val="FootnoteReference"/>
        </w:rPr>
        <w:footnoteRef/>
      </w:r>
      <w:r>
        <w:t xml:space="preserve"> </w:t>
      </w:r>
      <w:hyperlink r:id="rId1" w:history="1">
        <w:r>
          <w:rPr>
            <w:rStyle w:val="Hyperlink"/>
          </w:rPr>
          <w:t>https://ec.europa.eu/info/sites/info/files/progress-report-romania-2019-com-2019-499_ro.pdf</w:t>
        </w:r>
      </w:hyperlink>
      <w:r>
        <w:t xml:space="preserve"> - pag 17-18</w:t>
      </w:r>
    </w:p>
  </w:footnote>
  <w:footnote w:id="5">
    <w:p w:rsidR="002F11E7" w:rsidRDefault="002F11E7" w:rsidP="00661064">
      <w:pPr>
        <w:pStyle w:val="FootnoteText"/>
        <w:spacing w:after="0" w:line="240" w:lineRule="auto"/>
      </w:pPr>
      <w:r w:rsidRPr="00FE4E5C">
        <w:rPr>
          <w:rStyle w:val="FootnoteReference"/>
          <w:sz w:val="18"/>
          <w:szCs w:val="18"/>
        </w:rPr>
        <w:footnoteRef/>
      </w:r>
      <w:r w:rsidRPr="00FE4E5C">
        <w:rPr>
          <w:sz w:val="18"/>
          <w:szCs w:val="18"/>
        </w:rPr>
        <w:t xml:space="preserve"> </w:t>
      </w:r>
      <w:r w:rsidRPr="00661064">
        <w:t xml:space="preserve">Denumirea instituției înainte de reorganizarea guvernului potrivit </w:t>
      </w:r>
      <w:r w:rsidRPr="00661064">
        <w:rPr>
          <w:rFonts w:eastAsia="Calibri"/>
          <w:noProof/>
        </w:rPr>
        <w:t>OUG nr. 68/2019 privind stabilirea unor măsuri la nivelul administraţiei publice centrale şi pentru modificarea şi completarea unor acte normative</w:t>
      </w:r>
      <w:r>
        <w:rPr>
          <w:rFonts w:eastAsia="Calibri"/>
          <w:i/>
          <w:noProof/>
        </w:rPr>
        <w:t>.</w:t>
      </w:r>
    </w:p>
  </w:footnote>
  <w:footnote w:id="6">
    <w:p w:rsidR="002F11E7" w:rsidRPr="003C1F6F" w:rsidRDefault="002F11E7" w:rsidP="005F7FE0">
      <w:pPr>
        <w:pStyle w:val="FootnoteText"/>
        <w:spacing w:after="0" w:line="240" w:lineRule="auto"/>
      </w:pPr>
      <w:r>
        <w:rPr>
          <w:rStyle w:val="FootnoteReference"/>
        </w:rPr>
        <w:footnoteRef/>
      </w:r>
      <w:r>
        <w:t xml:space="preserve">HG 599/2018 </w:t>
      </w:r>
      <w:r w:rsidRPr="003C1F6F">
        <w:t xml:space="preserve">pentru aprobarea Metodologiei standard de evaluare a riscurilor de </w:t>
      </w:r>
      <w:r w:rsidRPr="003C1F6F">
        <w:t>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în vigoare de la data de 30.08.2018</w:t>
      </w:r>
    </w:p>
  </w:footnote>
  <w:footnote w:id="7">
    <w:p w:rsidR="002F11E7" w:rsidRDefault="002F11E7" w:rsidP="005F7FE0">
      <w:pPr>
        <w:pStyle w:val="FootnoteText"/>
        <w:spacing w:after="0" w:line="240" w:lineRule="auto"/>
      </w:pPr>
      <w:r>
        <w:rPr>
          <w:rStyle w:val="FootnoteReference"/>
        </w:rPr>
        <w:footnoteRef/>
      </w:r>
      <w:r>
        <w:t xml:space="preserve"> Denumirea </w:t>
      </w:r>
      <w:r>
        <w:t xml:space="preserve">instituților înainte de reorganizarea Guvernului potrivit </w:t>
      </w:r>
      <w:r w:rsidRPr="00ED0FCD">
        <w:rPr>
          <w:rFonts w:eastAsia="Calibri"/>
          <w:i/>
          <w:noProof/>
        </w:rPr>
        <w:t>OUG nr. 68/2019 privind stabilirea unor măsuri la nivelul administraţiei publice centrale şi pentru modificarea şi</w:t>
      </w:r>
      <w:r>
        <w:rPr>
          <w:rFonts w:eastAsia="Calibri"/>
          <w:i/>
          <w:noProof/>
        </w:rPr>
        <w:t xml:space="preserve"> completarea unor acte normativ.</w:t>
      </w:r>
    </w:p>
  </w:footnote>
  <w:footnote w:id="8">
    <w:p w:rsidR="002F11E7" w:rsidRPr="00661064" w:rsidRDefault="002F11E7" w:rsidP="0043424D">
      <w:pPr>
        <w:pStyle w:val="FootnoteText"/>
        <w:spacing w:after="0" w:line="240" w:lineRule="auto"/>
      </w:pPr>
      <w:r w:rsidRPr="00661064">
        <w:rPr>
          <w:rStyle w:val="FootnoteReference"/>
        </w:rPr>
        <w:footnoteRef/>
      </w:r>
      <w:r w:rsidRPr="00661064">
        <w:t xml:space="preserve"> Denumirea instituției înainte de reorganizarea guvernului potrivit </w:t>
      </w:r>
      <w:r w:rsidRPr="00661064">
        <w:rPr>
          <w:rFonts w:eastAsia="Calibri"/>
          <w:noProof/>
        </w:rPr>
        <w:t>OUG nr. 68/2019 privind stabilirea unor măsuri la nivelul administraţiei publice centrale şi pentru modificarea şi completarea unor acte normative</w:t>
      </w:r>
    </w:p>
  </w:footnote>
  <w:footnote w:id="9">
    <w:p w:rsidR="002F11E7" w:rsidRDefault="002F11E7" w:rsidP="00662A80">
      <w:pPr>
        <w:pStyle w:val="FootnoteText"/>
        <w:spacing w:after="0" w:line="240" w:lineRule="auto"/>
      </w:pPr>
      <w:r>
        <w:rPr>
          <w:rStyle w:val="FootnoteReference"/>
        </w:rPr>
        <w:footnoteRef/>
      </w:r>
      <w:r>
        <w:t xml:space="preserve"> Măsura 5.1.4. - </w:t>
      </w:r>
      <w:r w:rsidRPr="00805CF1">
        <w:t xml:space="preserve">Publicarea unui studiu privind sistemul </w:t>
      </w:r>
      <w:r w:rsidRPr="00805CF1">
        <w:t>sancţiunilor administrative şi implementarea lui (măsură restantă SNA 2012-2015)</w:t>
      </w:r>
    </w:p>
  </w:footnote>
  <w:footnote w:id="10">
    <w:p w:rsidR="002F11E7" w:rsidRDefault="002F11E7" w:rsidP="006C4CCC">
      <w:pPr>
        <w:pStyle w:val="FootnoteText"/>
        <w:spacing w:after="0" w:line="240" w:lineRule="auto"/>
      </w:pPr>
      <w:r>
        <w:rPr>
          <w:rStyle w:val="FootnoteReference"/>
        </w:rPr>
        <w:footnoteRef/>
      </w:r>
      <w:r>
        <w:t xml:space="preserve"> </w:t>
      </w:r>
      <w:hyperlink r:id="rId2" w:history="1">
        <w:r w:rsidRPr="00832B94">
          <w:rPr>
            <w:rStyle w:val="Hyperlink"/>
          </w:rPr>
          <w:t>http://www.just.ro/rapoarte-activitate-anul-2017-ong/?drawer=Rapoarte%20activitate%202017%20ONG</w:t>
        </w:r>
      </w:hyperlink>
      <w:r>
        <w:t xml:space="preserve"> </w:t>
      </w:r>
    </w:p>
  </w:footnote>
  <w:footnote w:id="11">
    <w:p w:rsidR="002F11E7" w:rsidRDefault="002F11E7" w:rsidP="002110B2">
      <w:pPr>
        <w:pStyle w:val="FootnoteText"/>
        <w:spacing w:after="0" w:line="240" w:lineRule="auto"/>
      </w:pPr>
      <w:r>
        <w:rPr>
          <w:rStyle w:val="FootnoteReference"/>
        </w:rPr>
        <w:footnoteRef/>
      </w:r>
      <w:r>
        <w:t xml:space="preserve"> În temeiul OUG nr. 26/2000 cu privire la asociații și fundații, OMJ nr. 1417/C/2006 și OMJ nr. 765/C/2013  </w:t>
      </w:r>
    </w:p>
  </w:footnote>
  <w:footnote w:id="12">
    <w:p w:rsidR="002F11E7" w:rsidRDefault="002F11E7" w:rsidP="006B2FD0">
      <w:pPr>
        <w:pStyle w:val="FootnoteText"/>
        <w:spacing w:after="0" w:line="240" w:lineRule="auto"/>
      </w:pPr>
      <w:r>
        <w:rPr>
          <w:rStyle w:val="FootnoteReference"/>
        </w:rPr>
        <w:footnoteRef/>
      </w:r>
      <w:r>
        <w:t xml:space="preserve"> </w:t>
      </w:r>
      <w:hyperlink r:id="rId3" w:history="1">
        <w:r w:rsidRPr="004C0537">
          <w:rPr>
            <w:rStyle w:val="Hyperlink"/>
          </w:rPr>
          <w:t>http://www.just.ro/strategii-si-politici/rapoarte/</w:t>
        </w:r>
      </w:hyperlink>
      <w:r>
        <w:t xml:space="preserve"> </w:t>
      </w:r>
    </w:p>
  </w:footnote>
  <w:footnote w:id="13">
    <w:p w:rsidR="002F11E7" w:rsidRDefault="002F11E7" w:rsidP="006B2FD0">
      <w:pPr>
        <w:pStyle w:val="FootnoteText"/>
        <w:spacing w:after="0" w:line="240" w:lineRule="auto"/>
      </w:pPr>
      <w:r>
        <w:rPr>
          <w:rStyle w:val="FootnoteReference"/>
        </w:rPr>
        <w:footnoteRef/>
      </w:r>
      <w:r>
        <w:t xml:space="preserve"> </w:t>
      </w:r>
      <w:hyperlink r:id="rId4" w:history="1">
        <w:r w:rsidRPr="004A7CF6">
          <w:rPr>
            <w:rStyle w:val="Hyperlink"/>
          </w:rPr>
          <w:t>https://sna.just.ro/Rapoarte+de+monitorizare</w:t>
        </w:r>
      </w:hyperlink>
      <w:r>
        <w:t xml:space="preserve"> </w:t>
      </w:r>
    </w:p>
  </w:footnote>
  <w:footnote w:id="14">
    <w:p w:rsidR="002F11E7" w:rsidRDefault="002F11E7" w:rsidP="006B2FD0">
      <w:pPr>
        <w:pStyle w:val="FootnoteText"/>
        <w:spacing w:after="0" w:line="240" w:lineRule="auto"/>
      </w:pPr>
      <w:r>
        <w:rPr>
          <w:rStyle w:val="FootnoteReference"/>
        </w:rPr>
        <w:footnoteRef/>
      </w:r>
      <w:r>
        <w:t xml:space="preserve"> </w:t>
      </w:r>
      <w:r w:rsidRPr="00AD4CE8">
        <w:rPr>
          <w:rFonts w:cs="Arial"/>
          <w:bCs/>
          <w:color w:val="000000"/>
          <w:szCs w:val="16"/>
        </w:rPr>
        <w:t xml:space="preserve">Legea nr. 544/2001 privind liberul acces la </w:t>
      </w:r>
      <w:r w:rsidRPr="00AD4CE8">
        <w:rPr>
          <w:rFonts w:cs="Arial"/>
          <w:bCs/>
          <w:color w:val="000000"/>
          <w:szCs w:val="16"/>
        </w:rPr>
        <w:t>informaţiile de interes public</w:t>
      </w:r>
    </w:p>
  </w:footnote>
  <w:footnote w:id="15">
    <w:p w:rsidR="002F11E7" w:rsidRDefault="002F11E7" w:rsidP="005B0FDC">
      <w:pPr>
        <w:pStyle w:val="FootnoteText"/>
        <w:spacing w:after="0" w:line="240" w:lineRule="auto"/>
      </w:pPr>
      <w:r>
        <w:rPr>
          <w:rStyle w:val="FootnoteReference"/>
        </w:rPr>
        <w:footnoteRef/>
      </w:r>
      <w:r>
        <w:t xml:space="preserve"> </w:t>
      </w:r>
      <w:r w:rsidRPr="00370957">
        <w:t>https://sna.just.ro/Rapoarte+de+monitorizare</w:t>
      </w:r>
    </w:p>
  </w:footnote>
  <w:footnote w:id="16">
    <w:p w:rsidR="002F11E7" w:rsidRDefault="002F11E7" w:rsidP="001D573B">
      <w:pPr>
        <w:pStyle w:val="FootnoteText"/>
        <w:spacing w:after="0" w:line="240" w:lineRule="auto"/>
      </w:pPr>
      <w:r>
        <w:rPr>
          <w:rStyle w:val="FootnoteReference"/>
        </w:rPr>
        <w:footnoteRef/>
      </w:r>
      <w:r>
        <w:t xml:space="preserve"> Hotărârii nr. 599 din data de 2 august </w:t>
      </w:r>
      <w:r w:rsidRPr="00076A6E">
        <w:t xml:space="preserve">2018 pentru aprobarea Metodologiei standard de evaluare a riscurilor de </w:t>
      </w:r>
      <w:r w:rsidRPr="00076A6E">
        <w:t>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w:t>
      </w:r>
    </w:p>
  </w:footnote>
  <w:footnote w:id="17">
    <w:p w:rsidR="002F11E7" w:rsidRDefault="002F11E7" w:rsidP="001D573B">
      <w:pPr>
        <w:pStyle w:val="FootnoteText"/>
        <w:spacing w:after="0" w:line="240" w:lineRule="auto"/>
      </w:pPr>
      <w:r>
        <w:rPr>
          <w:rStyle w:val="FootnoteReference"/>
        </w:rPr>
        <w:footnoteRef/>
      </w:r>
      <w:r>
        <w:t xml:space="preserve"> </w:t>
      </w:r>
      <w:hyperlink r:id="rId5" w:history="1">
        <w:r w:rsidRPr="009A662C">
          <w:rPr>
            <w:rStyle w:val="Hyperlink"/>
          </w:rPr>
          <w:t>https://sgg.gov.ro/new/rapoarte/</w:t>
        </w:r>
      </w:hyperlink>
      <w:r>
        <w:t xml:space="preserve"> </w:t>
      </w:r>
    </w:p>
  </w:footnote>
  <w:footnote w:id="18">
    <w:p w:rsidR="002F11E7" w:rsidRPr="00324B94" w:rsidRDefault="002F11E7" w:rsidP="00324B94">
      <w:pPr>
        <w:rPr>
          <w:rFonts w:eastAsia="Times New Roman" w:cs="Arial"/>
          <w:bCs/>
          <w:color w:val="000000"/>
          <w:sz w:val="16"/>
          <w:szCs w:val="16"/>
          <w:lang w:val="ro-RO"/>
        </w:rPr>
      </w:pPr>
      <w:r>
        <w:rPr>
          <w:rStyle w:val="FootnoteReference"/>
        </w:rPr>
        <w:footnoteRef/>
      </w:r>
      <w:r w:rsidRPr="001C7596">
        <w:rPr>
          <w:lang w:val="ro-RO"/>
        </w:rPr>
        <w:t xml:space="preserve"> </w:t>
      </w:r>
      <w:r w:rsidRPr="00324B94">
        <w:rPr>
          <w:rFonts w:eastAsia="Times New Roman" w:cs="Arial"/>
          <w:bCs/>
          <w:color w:val="000000"/>
          <w:sz w:val="16"/>
          <w:szCs w:val="16"/>
          <w:lang w:val="ro-RO"/>
        </w:rPr>
        <w:t xml:space="preserve">Ordinul nr. 1399/2018 privind completarea Regulamentului de organizare </w:t>
      </w:r>
      <w:r w:rsidRPr="00324B94">
        <w:rPr>
          <w:rFonts w:eastAsia="Times New Roman" w:cs="Arial"/>
          <w:bCs/>
          <w:color w:val="000000"/>
          <w:sz w:val="16"/>
          <w:szCs w:val="16"/>
          <w:lang w:val="ro-RO"/>
        </w:rPr>
        <w:t xml:space="preserve">şi funcţionare a Ministerului Justiţiei, aprobat prin Ordinul ministrului justiţiei nr. 120/C/2011 </w:t>
      </w:r>
    </w:p>
    <w:p w:rsidR="002F11E7" w:rsidRDefault="002F11E7">
      <w:pPr>
        <w:pStyle w:val="FootnoteText"/>
      </w:pPr>
    </w:p>
  </w:footnote>
  <w:footnote w:id="19">
    <w:p w:rsidR="002F11E7" w:rsidRDefault="002F11E7" w:rsidP="00F00141">
      <w:pPr>
        <w:pStyle w:val="FootnoteText"/>
        <w:spacing w:after="0" w:line="240" w:lineRule="auto"/>
      </w:pPr>
      <w:r>
        <w:rPr>
          <w:rStyle w:val="FootnoteReference"/>
        </w:rPr>
        <w:footnoteRef/>
      </w:r>
      <w:r>
        <w:t xml:space="preserve"> </w:t>
      </w:r>
      <w:r w:rsidRPr="001A37B7">
        <w:t>Legii nr. 571/2004, privind protecția personalului din autoritățile publice, instituțiile publice și din alte unități care semnalează încălcări ale legii</w:t>
      </w:r>
    </w:p>
  </w:footnote>
  <w:footnote w:id="20">
    <w:p w:rsidR="002F11E7" w:rsidRDefault="002F11E7" w:rsidP="005538F9">
      <w:pPr>
        <w:pStyle w:val="FootnoteText"/>
        <w:spacing w:after="0" w:line="240" w:lineRule="auto"/>
      </w:pPr>
      <w:r>
        <w:rPr>
          <w:rStyle w:val="FootnoteReference"/>
        </w:rPr>
        <w:footnoteRef/>
      </w:r>
      <w:r>
        <w:t xml:space="preserve"> </w:t>
      </w:r>
      <w:r w:rsidRPr="005538F9">
        <w:t>Directiva (UE) 2019/1937 a Parlamentului European și a Consiliului din 23 octombrie 2019 privind protecția persoanelor care raportează încălcări ale dreptului Uniunii</w:t>
      </w:r>
    </w:p>
  </w:footnote>
  <w:footnote w:id="21">
    <w:p w:rsidR="002F11E7" w:rsidRPr="00CB3D91" w:rsidRDefault="002F11E7" w:rsidP="001A37B7">
      <w:pPr>
        <w:rPr>
          <w:rFonts w:ascii="Arial" w:eastAsia="Times New Roman" w:hAnsi="Arial" w:cs="Arial"/>
          <w:b/>
          <w:bCs/>
          <w:color w:val="000000"/>
          <w:sz w:val="32"/>
          <w:szCs w:val="32"/>
          <w:lang w:val="ro-RO"/>
        </w:rPr>
      </w:pPr>
      <w:r w:rsidRPr="00CB3D91">
        <w:rPr>
          <w:rStyle w:val="FootnoteReference"/>
          <w:lang w:val="ro-RO"/>
        </w:rPr>
        <w:footnoteRef/>
      </w:r>
      <w:r w:rsidRPr="00CB3D91">
        <w:rPr>
          <w:lang w:val="ro-RO"/>
        </w:rPr>
        <w:t xml:space="preserve"> </w:t>
      </w:r>
      <w:r w:rsidRPr="00894057">
        <w:rPr>
          <w:rFonts w:eastAsia="Times New Roman" w:cs="Arial"/>
          <w:bCs/>
          <w:color w:val="000000"/>
          <w:sz w:val="16"/>
          <w:szCs w:val="16"/>
          <w:lang w:val="ro-RO"/>
        </w:rPr>
        <w:t xml:space="preserve">Legea nr. 252/2013 privind organizarea </w:t>
      </w:r>
      <w:r w:rsidRPr="00894057">
        <w:rPr>
          <w:rFonts w:eastAsia="Times New Roman" w:cs="Arial"/>
          <w:bCs/>
          <w:color w:val="000000"/>
          <w:sz w:val="16"/>
          <w:szCs w:val="16"/>
          <w:lang w:val="ro-RO"/>
        </w:rPr>
        <w:t>şi funcţionarea sistemului de probaţiune</w:t>
      </w:r>
      <w:r w:rsidRPr="00CB3D91">
        <w:rPr>
          <w:rFonts w:ascii="Arial" w:eastAsia="Times New Roman" w:hAnsi="Arial" w:cs="Arial"/>
          <w:b/>
          <w:bCs/>
          <w:color w:val="000000"/>
          <w:sz w:val="32"/>
          <w:szCs w:val="32"/>
          <w:lang w:val="ro-RO"/>
        </w:rPr>
        <w:t xml:space="preserve"> </w:t>
      </w:r>
    </w:p>
    <w:p w:rsidR="002F11E7" w:rsidRDefault="002F11E7">
      <w:pPr>
        <w:pStyle w:val="FootnoteText"/>
      </w:pPr>
    </w:p>
  </w:footnote>
  <w:footnote w:id="22">
    <w:p w:rsidR="002F11E7" w:rsidRDefault="002F11E7" w:rsidP="002754B6">
      <w:pPr>
        <w:pStyle w:val="FootnoteText"/>
        <w:spacing w:after="0" w:line="240" w:lineRule="auto"/>
      </w:pPr>
      <w:r>
        <w:rPr>
          <w:rStyle w:val="FootnoteReference"/>
        </w:rPr>
        <w:footnoteRef/>
      </w:r>
      <w:r>
        <w:t xml:space="preserve"> </w:t>
      </w:r>
      <w:hyperlink r:id="rId6" w:history="1">
        <w:r w:rsidRPr="008F5622">
          <w:rPr>
            <w:rStyle w:val="Hyperlink"/>
            <w:rFonts w:eastAsia="Times New Roman" w:cs="Helvetica"/>
            <w:lang w:eastAsia="ro-RO"/>
          </w:rPr>
          <w:t>http://cetatenie.just.ro/index.php/ro/transparenta/sna-anc-2016-2020-pagina</w:t>
        </w:r>
      </w:hyperlink>
      <w:r>
        <w:rPr>
          <w:rFonts w:eastAsia="Times New Roman" w:cs="Helvetica"/>
          <w:color w:val="000000"/>
          <w:u w:val="single"/>
          <w:lang w:eastAsia="ro-RO"/>
        </w:rPr>
        <w:t xml:space="preserve"> </w:t>
      </w:r>
    </w:p>
  </w:footnote>
  <w:footnote w:id="23">
    <w:p w:rsidR="002F11E7" w:rsidRDefault="002F11E7" w:rsidP="002754B6">
      <w:pPr>
        <w:pStyle w:val="FootnoteText"/>
        <w:spacing w:after="0" w:line="240" w:lineRule="auto"/>
      </w:pPr>
      <w:r>
        <w:rPr>
          <w:rStyle w:val="FootnoteReference"/>
        </w:rPr>
        <w:footnoteRef/>
      </w:r>
      <w:hyperlink r:id="rId7" w:history="1">
        <w:r w:rsidRPr="00677167">
          <w:rPr>
            <w:rStyle w:val="Hyperlink"/>
            <w:u w:val="none"/>
          </w:rPr>
          <w:t>http://www.just.ro/proiectul-de-ordin-al-ministrului-justitiei-privind-metodologia-de-organizare-si-desfasurare-a-controlului-si-evaluarii-activitatii-sistemului-de-probatiune/</w:t>
        </w:r>
      </w:hyperlink>
      <w:r>
        <w:t xml:space="preserve"> </w:t>
      </w:r>
    </w:p>
  </w:footnote>
  <w:footnote w:id="24">
    <w:p w:rsidR="002F11E7" w:rsidRDefault="002F11E7" w:rsidP="007828FB">
      <w:pPr>
        <w:pStyle w:val="FootnoteText"/>
        <w:spacing w:after="0" w:line="240" w:lineRule="auto"/>
      </w:pPr>
      <w:r>
        <w:rPr>
          <w:rStyle w:val="FootnoteReference"/>
        </w:rPr>
        <w:footnoteRef/>
      </w:r>
      <w:r>
        <w:t xml:space="preserve"> </w:t>
      </w:r>
      <w:r w:rsidRPr="009B03F6">
        <w:rPr>
          <w:rFonts w:cs="Arial"/>
          <w:bCs/>
          <w:color w:val="000000"/>
          <w:szCs w:val="16"/>
        </w:rPr>
        <w:t>Ordonanţa de urgenţă nr. 88/2013 privind adoptarea unor măsuri fiscal-bugetare pentru îndeplinirea unor angajamente convenite cu organismele internaţionale, precum şi pentru modificarea şi completarea unor acte normative</w:t>
      </w:r>
    </w:p>
  </w:footnote>
  <w:footnote w:id="25">
    <w:p w:rsidR="002F11E7" w:rsidRDefault="002F11E7" w:rsidP="007828FB">
      <w:pPr>
        <w:pStyle w:val="FootnoteText"/>
        <w:spacing w:after="0" w:line="240" w:lineRule="auto"/>
      </w:pPr>
      <w:r>
        <w:rPr>
          <w:rStyle w:val="FootnoteReference"/>
        </w:rPr>
        <w:footnoteRef/>
      </w:r>
      <w:r>
        <w:t xml:space="preserve"> </w:t>
      </w:r>
      <w:r w:rsidRPr="009B03F6">
        <w:rPr>
          <w:rFonts w:cs="Arial"/>
          <w:bCs/>
          <w:color w:val="000000"/>
          <w:szCs w:val="16"/>
        </w:rPr>
        <w:t xml:space="preserve">Ordinul nr. 1026/2017 privind modificarea </w:t>
      </w:r>
      <w:r w:rsidRPr="009B03F6">
        <w:rPr>
          <w:rFonts w:cs="Arial"/>
          <w:bCs/>
          <w:color w:val="000000"/>
          <w:szCs w:val="16"/>
        </w:rPr>
        <w:t>şi completarea Ordinului ministrului finanţelor publice nr. 517/2016 pentru aprobarea de proceduri aferente unor module care fac parte din procedura de funcţionare a sistemului naţional de raportare - Forexebug</w:t>
      </w:r>
    </w:p>
  </w:footnote>
  <w:footnote w:id="26">
    <w:p w:rsidR="002F11E7" w:rsidRDefault="002F11E7" w:rsidP="007828FB">
      <w:pPr>
        <w:pStyle w:val="FootnoteText"/>
        <w:spacing w:after="0" w:line="240" w:lineRule="auto"/>
      </w:pPr>
      <w:r>
        <w:rPr>
          <w:rStyle w:val="FootnoteReference"/>
        </w:rPr>
        <w:footnoteRef/>
      </w:r>
      <w:r>
        <w:t xml:space="preserve"> </w:t>
      </w:r>
      <w:hyperlink r:id="rId8" w:history="1">
        <w:r w:rsidRPr="004A7CF6">
          <w:rPr>
            <w:rStyle w:val="Hyperlink"/>
          </w:rPr>
          <w:t>https://www.senat.ro/legis/lista.aspx</w:t>
        </w:r>
      </w:hyperlink>
      <w:r>
        <w:t xml:space="preserve"> </w:t>
      </w:r>
    </w:p>
  </w:footnote>
  <w:footnote w:id="27">
    <w:p w:rsidR="002F11E7" w:rsidRDefault="002F11E7">
      <w:pPr>
        <w:pStyle w:val="FootnoteText"/>
      </w:pPr>
      <w:r>
        <w:rPr>
          <w:rStyle w:val="FootnoteReference"/>
        </w:rPr>
        <w:footnoteRef/>
      </w:r>
      <w:r>
        <w:t xml:space="preserve"> </w:t>
      </w:r>
      <w:hyperlink r:id="rId9" w:history="1">
        <w:r>
          <w:rPr>
            <w:rStyle w:val="Hyperlink"/>
          </w:rPr>
          <w:t>http://www.cdep.ro/pls/proiecte/upl_pck2015.proiect?nr=537&amp;an=2017</w:t>
        </w:r>
      </w:hyperlink>
    </w:p>
  </w:footnote>
  <w:footnote w:id="28">
    <w:p w:rsidR="002F11E7" w:rsidRPr="00F514A0" w:rsidRDefault="002F11E7" w:rsidP="00F514A0">
      <w:pPr>
        <w:rPr>
          <w:rFonts w:cs="Segoe UI"/>
          <w:color w:val="444444"/>
          <w:sz w:val="16"/>
          <w:szCs w:val="16"/>
          <w:shd w:val="clear" w:color="auto" w:fill="FFFFFF"/>
          <w:lang w:val="ro-RO"/>
        </w:rPr>
      </w:pPr>
      <w:r>
        <w:rPr>
          <w:rStyle w:val="FootnoteReference"/>
        </w:rPr>
        <w:footnoteRef/>
      </w:r>
      <w:r w:rsidRPr="001C7596">
        <w:rPr>
          <w:lang w:val="ro-RO"/>
        </w:rPr>
        <w:t xml:space="preserve"> </w:t>
      </w:r>
      <w:r w:rsidRPr="00F514A0">
        <w:rPr>
          <w:rFonts w:cs="Segoe UI"/>
          <w:color w:val="444444"/>
          <w:sz w:val="16"/>
          <w:szCs w:val="16"/>
          <w:shd w:val="clear" w:color="auto" w:fill="FFFFFF"/>
          <w:lang w:val="ro-RO"/>
        </w:rPr>
        <w:t xml:space="preserve">Hotărârea nr. 358/2016 privind aprobarea Regulamentului de organizare </w:t>
      </w:r>
      <w:r w:rsidRPr="00F514A0">
        <w:rPr>
          <w:rFonts w:cs="Segoe UI"/>
          <w:color w:val="444444"/>
          <w:sz w:val="16"/>
          <w:szCs w:val="16"/>
          <w:shd w:val="clear" w:color="auto" w:fill="FFFFFF"/>
          <w:lang w:val="ro-RO"/>
        </w:rPr>
        <w:t xml:space="preserve">şi funcţionare a Agenţiei Naţionale de Administrare a Bunurilor Indisponibilizate, a organigramei, a parcului auto şi a modului de utilizare a acestuia, precum şi pentru completarea Hotărârii Guvernului nr. 652/2009 privind organizarea şi funcţionarea Ministerului Justiţiei </w:t>
      </w:r>
    </w:p>
  </w:footnote>
  <w:footnote w:id="29">
    <w:p w:rsidR="002F11E7" w:rsidRDefault="002F11E7" w:rsidP="00F514A0">
      <w:pPr>
        <w:pStyle w:val="FootnoteText"/>
        <w:spacing w:after="0" w:line="240" w:lineRule="auto"/>
      </w:pPr>
      <w:r>
        <w:rPr>
          <w:rStyle w:val="FootnoteReference"/>
        </w:rPr>
        <w:footnoteRef/>
      </w:r>
      <w:r>
        <w:t xml:space="preserve"> </w:t>
      </w:r>
      <w:r w:rsidRPr="00F514A0">
        <w:rPr>
          <w:rFonts w:cs="Segoe UI"/>
          <w:color w:val="444444"/>
          <w:szCs w:val="16"/>
          <w:shd w:val="clear" w:color="auto" w:fill="FFFFFF"/>
        </w:rPr>
        <w:t>OUG nr. 90/2017</w:t>
      </w:r>
      <w:r>
        <w:rPr>
          <w:rFonts w:cs="Segoe UI"/>
          <w:color w:val="444444"/>
          <w:szCs w:val="16"/>
          <w:shd w:val="clear" w:color="auto" w:fill="FFFFFF"/>
        </w:rPr>
        <w:t xml:space="preserve"> </w:t>
      </w:r>
      <w:r w:rsidRPr="00F514A0">
        <w:rPr>
          <w:rFonts w:cs="Segoe UI"/>
          <w:color w:val="444444"/>
          <w:szCs w:val="16"/>
          <w:shd w:val="clear" w:color="auto" w:fill="FFFFFF"/>
        </w:rPr>
        <w:t>privind unele măsuri fiscal-bugetare, modificarea și completarea unor acte normative și prorogarea unor termene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1E7" w:rsidRDefault="002F11E7" w:rsidP="008A4458">
    <w:pPr>
      <w:pStyle w:val="Header"/>
    </w:pPr>
  </w:p>
  <w:p w:rsidR="002F11E7" w:rsidRPr="00CD5B3B" w:rsidRDefault="002F11E7" w:rsidP="008A4458">
    <w:pPr>
      <w:pStyle w:val="Header"/>
    </w:pPr>
    <w:r>
      <w:rPr>
        <w:noProof/>
      </w:rPr>
      <w:drawing>
        <wp:inline distT="0" distB="0" distL="0" distR="0">
          <wp:extent cx="1959610" cy="201930"/>
          <wp:effectExtent l="0" t="0" r="2540" b="7620"/>
          <wp:docPr id="7"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2F11E7" w:rsidRPr="002805DB" w:rsidTr="00D004FB">
      <w:tc>
        <w:tcPr>
          <w:tcW w:w="6504" w:type="dxa"/>
        </w:tcPr>
        <w:p w:rsidR="002F11E7" w:rsidRPr="002805DB" w:rsidRDefault="002F11E7" w:rsidP="00D004FB">
          <w:pPr>
            <w:spacing w:before="120"/>
            <w:rPr>
              <w:lang w:val="ro-RO"/>
            </w:rPr>
          </w:pPr>
          <w:r w:rsidRPr="002805DB">
            <w:rPr>
              <w:noProof/>
            </w:rPr>
            <w:drawing>
              <wp:inline distT="0" distB="0" distL="0" distR="0">
                <wp:extent cx="2816860" cy="902335"/>
                <wp:effectExtent l="0" t="0" r="2540" b="0"/>
                <wp:docPr id="9"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rsidR="002F11E7" w:rsidRPr="002805DB" w:rsidRDefault="002F11E7" w:rsidP="002B734F">
          <w:pPr>
            <w:spacing w:before="120"/>
            <w:ind w:right="313"/>
            <w:jc w:val="right"/>
            <w:rPr>
              <w:lang w:val="ro-RO"/>
            </w:rPr>
          </w:pPr>
          <w:r w:rsidRPr="002805DB">
            <w:rPr>
              <w:rFonts w:ascii="Calibri" w:eastAsia="Times New Roman" w:hAnsi="Calibri"/>
              <w:noProof/>
            </w:rPr>
            <w:drawing>
              <wp:anchor distT="0" distB="0" distL="114300" distR="114300" simplePos="0" relativeHeight="251659264" behindDoc="0" locked="0" layoutInCell="1" allowOverlap="1">
                <wp:simplePos x="0" y="0"/>
                <wp:positionH relativeFrom="column">
                  <wp:posOffset>6106795</wp:posOffset>
                </wp:positionH>
                <wp:positionV relativeFrom="paragraph">
                  <wp:posOffset>424815</wp:posOffset>
                </wp:positionV>
                <wp:extent cx="1277620" cy="902970"/>
                <wp:effectExtent l="0" t="0" r="0" b="0"/>
                <wp:wrapNone/>
                <wp:docPr id="10" name="Imagine 8"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anchor>
            </w:drawing>
          </w:r>
        </w:p>
      </w:tc>
    </w:tr>
  </w:tbl>
  <w:p w:rsidR="002F11E7" w:rsidRPr="00455A45" w:rsidRDefault="002F11E7" w:rsidP="00455A45">
    <w:pPr>
      <w:pStyle w:val="Header"/>
      <w:ind w:left="-1701" w:right="-29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4DB"/>
    <w:multiLevelType w:val="hybridMultilevel"/>
    <w:tmpl w:val="E138C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1199"/>
    <w:multiLevelType w:val="hybridMultilevel"/>
    <w:tmpl w:val="232E09E4"/>
    <w:lvl w:ilvl="0" w:tplc="E18E998C">
      <w:start w:val="5"/>
      <w:numFmt w:val="bullet"/>
      <w:lvlText w:val="-"/>
      <w:lvlJc w:val="left"/>
      <w:pPr>
        <w:ind w:left="720" w:hanging="360"/>
      </w:pPr>
      <w:rPr>
        <w:rFonts w:ascii="Trebuchet MS" w:eastAsia="Times New Roman" w:hAnsi="Trebuchet M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B1B"/>
    <w:multiLevelType w:val="hybridMultilevel"/>
    <w:tmpl w:val="10667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14159"/>
    <w:multiLevelType w:val="hybridMultilevel"/>
    <w:tmpl w:val="74FC6E3A"/>
    <w:lvl w:ilvl="0" w:tplc="945887EC">
      <w:start w:val="16"/>
      <w:numFmt w:val="bullet"/>
      <w:lvlText w:val="-"/>
      <w:lvlJc w:val="left"/>
      <w:pPr>
        <w:ind w:left="720" w:hanging="360"/>
      </w:pPr>
      <w:rPr>
        <w:rFonts w:ascii="Trebuchet MS" w:eastAsia="Times New Roman" w:hAnsi="Trebuchet M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112"/>
    <w:multiLevelType w:val="hybridMultilevel"/>
    <w:tmpl w:val="EBCEC9C0"/>
    <w:lvl w:ilvl="0" w:tplc="02D88EE2">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61AD5"/>
    <w:multiLevelType w:val="hybridMultilevel"/>
    <w:tmpl w:val="242E4E72"/>
    <w:lvl w:ilvl="0" w:tplc="0409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262D3EA8"/>
    <w:multiLevelType w:val="hybridMultilevel"/>
    <w:tmpl w:val="E3E8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93E03"/>
    <w:multiLevelType w:val="multilevel"/>
    <w:tmpl w:val="36640C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7102B92"/>
    <w:multiLevelType w:val="hybridMultilevel"/>
    <w:tmpl w:val="78B8AD4E"/>
    <w:lvl w:ilvl="0" w:tplc="0BC295A6">
      <w:start w:val="1"/>
      <w:numFmt w:val="upperRoman"/>
      <w:lvlText w:val="%1."/>
      <w:lvlJc w:val="left"/>
      <w:pPr>
        <w:ind w:left="720" w:hanging="360"/>
      </w:pPr>
      <w:rPr>
        <w:rFonts w:ascii="Trebuchet MS" w:eastAsia="MS Mincho" w:hAnsi="Trebuchet MS"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57489B"/>
    <w:multiLevelType w:val="hybridMultilevel"/>
    <w:tmpl w:val="51CC8E62"/>
    <w:lvl w:ilvl="0" w:tplc="0409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0" w15:restartNumberingAfterBreak="0">
    <w:nsid w:val="3E3067F8"/>
    <w:multiLevelType w:val="hybridMultilevel"/>
    <w:tmpl w:val="6FB618E6"/>
    <w:lvl w:ilvl="0" w:tplc="9B00BA80">
      <w:start w:val="2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25E9E"/>
    <w:multiLevelType w:val="hybridMultilevel"/>
    <w:tmpl w:val="308E0A2A"/>
    <w:lvl w:ilvl="0" w:tplc="81E47368">
      <w:numFmt w:val="bullet"/>
      <w:lvlText w:val="-"/>
      <w:lvlJc w:val="left"/>
      <w:pPr>
        <w:ind w:left="1440" w:hanging="360"/>
      </w:pPr>
      <w:rPr>
        <w:rFonts w:ascii="Trebuchet MS" w:eastAsia="Calibri" w:hAnsi="Trebuchet MS"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49FC0AD6"/>
    <w:multiLevelType w:val="hybridMultilevel"/>
    <w:tmpl w:val="E13EA5B4"/>
    <w:lvl w:ilvl="0" w:tplc="6414C380">
      <w:start w:val="8"/>
      <w:numFmt w:val="bullet"/>
      <w:lvlText w:val="-"/>
      <w:lvlJc w:val="left"/>
      <w:pPr>
        <w:ind w:left="720" w:hanging="360"/>
      </w:pPr>
      <w:rPr>
        <w:rFonts w:ascii="Trebuchet MS" w:eastAsia="MS Mincho" w:hAnsi="Trebuchet M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74D82"/>
    <w:multiLevelType w:val="hybridMultilevel"/>
    <w:tmpl w:val="6562E1E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559E45FD"/>
    <w:multiLevelType w:val="hybridMultilevel"/>
    <w:tmpl w:val="8D2A0B2E"/>
    <w:lvl w:ilvl="0" w:tplc="F93C1214">
      <w:start w:val="8"/>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F045A"/>
    <w:multiLevelType w:val="hybridMultilevel"/>
    <w:tmpl w:val="C6D8E6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E6BC1"/>
    <w:multiLevelType w:val="hybridMultilevel"/>
    <w:tmpl w:val="4D80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F3CBA"/>
    <w:multiLevelType w:val="hybridMultilevel"/>
    <w:tmpl w:val="FC8E9322"/>
    <w:lvl w:ilvl="0" w:tplc="F93C1214">
      <w:start w:val="8"/>
      <w:numFmt w:val="bullet"/>
      <w:lvlText w:val="-"/>
      <w:lvlJc w:val="left"/>
      <w:pPr>
        <w:ind w:left="1428" w:hanging="360"/>
      </w:pPr>
      <w:rPr>
        <w:rFonts w:ascii="Trebuchet MS" w:eastAsia="MS Mincho" w:hAnsi="Trebuchet MS"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76E04A86"/>
    <w:multiLevelType w:val="hybridMultilevel"/>
    <w:tmpl w:val="9B62A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154B9"/>
    <w:multiLevelType w:val="hybridMultilevel"/>
    <w:tmpl w:val="F1BE9F9C"/>
    <w:lvl w:ilvl="0" w:tplc="F93C1214">
      <w:start w:val="8"/>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8"/>
  </w:num>
  <w:num w:numId="4">
    <w:abstractNumId w:val="16"/>
  </w:num>
  <w:num w:numId="5">
    <w:abstractNumId w:val="2"/>
  </w:num>
  <w:num w:numId="6">
    <w:abstractNumId w:val="12"/>
  </w:num>
  <w:num w:numId="7">
    <w:abstractNumId w:val="15"/>
  </w:num>
  <w:num w:numId="8">
    <w:abstractNumId w:val="10"/>
  </w:num>
  <w:num w:numId="9">
    <w:abstractNumId w:val="19"/>
  </w:num>
  <w:num w:numId="10">
    <w:abstractNumId w:val="14"/>
  </w:num>
  <w:num w:numId="11">
    <w:abstractNumId w:val="1"/>
  </w:num>
  <w:num w:numId="12">
    <w:abstractNumId w:val="17"/>
  </w:num>
  <w:num w:numId="13">
    <w:abstractNumId w:val="4"/>
  </w:num>
  <w:num w:numId="14">
    <w:abstractNumId w:val="9"/>
  </w:num>
  <w:num w:numId="15">
    <w:abstractNumId w:val="5"/>
  </w:num>
  <w:num w:numId="16">
    <w:abstractNumId w:val="13"/>
  </w:num>
  <w:num w:numId="17">
    <w:abstractNumId w:val="11"/>
  </w:num>
  <w:num w:numId="18">
    <w:abstractNumId w:val="6"/>
  </w:num>
  <w:num w:numId="19">
    <w:abstractNumId w:val="0"/>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10CC"/>
    <w:rsid w:val="000060B2"/>
    <w:rsid w:val="000071D1"/>
    <w:rsid w:val="00010F7C"/>
    <w:rsid w:val="00012785"/>
    <w:rsid w:val="000128D6"/>
    <w:rsid w:val="00012A0A"/>
    <w:rsid w:val="0001310D"/>
    <w:rsid w:val="0001544E"/>
    <w:rsid w:val="0001582A"/>
    <w:rsid w:val="00016200"/>
    <w:rsid w:val="00016893"/>
    <w:rsid w:val="000206E2"/>
    <w:rsid w:val="00021D6D"/>
    <w:rsid w:val="00021F1A"/>
    <w:rsid w:val="000232DE"/>
    <w:rsid w:val="00023330"/>
    <w:rsid w:val="00024F60"/>
    <w:rsid w:val="00030CFE"/>
    <w:rsid w:val="0003130D"/>
    <w:rsid w:val="000331D6"/>
    <w:rsid w:val="00033226"/>
    <w:rsid w:val="00035A09"/>
    <w:rsid w:val="00036CF6"/>
    <w:rsid w:val="00037719"/>
    <w:rsid w:val="0004172B"/>
    <w:rsid w:val="00044C7A"/>
    <w:rsid w:val="000452C1"/>
    <w:rsid w:val="000505AB"/>
    <w:rsid w:val="00055BA3"/>
    <w:rsid w:val="00055E73"/>
    <w:rsid w:val="00056C05"/>
    <w:rsid w:val="00056F46"/>
    <w:rsid w:val="00062511"/>
    <w:rsid w:val="0006330C"/>
    <w:rsid w:val="0006405B"/>
    <w:rsid w:val="00064502"/>
    <w:rsid w:val="00065F00"/>
    <w:rsid w:val="0006628B"/>
    <w:rsid w:val="00066DAB"/>
    <w:rsid w:val="00076A6E"/>
    <w:rsid w:val="00076B19"/>
    <w:rsid w:val="00082C88"/>
    <w:rsid w:val="000842EB"/>
    <w:rsid w:val="00085198"/>
    <w:rsid w:val="000853B1"/>
    <w:rsid w:val="00087CA6"/>
    <w:rsid w:val="0009273D"/>
    <w:rsid w:val="0009437F"/>
    <w:rsid w:val="000A2A4D"/>
    <w:rsid w:val="000A6712"/>
    <w:rsid w:val="000A7851"/>
    <w:rsid w:val="000B241D"/>
    <w:rsid w:val="000B281E"/>
    <w:rsid w:val="000B4E74"/>
    <w:rsid w:val="000C0AFB"/>
    <w:rsid w:val="000C3363"/>
    <w:rsid w:val="000C38F3"/>
    <w:rsid w:val="000C68AA"/>
    <w:rsid w:val="000D02FE"/>
    <w:rsid w:val="000D2752"/>
    <w:rsid w:val="000D46E5"/>
    <w:rsid w:val="000E18A3"/>
    <w:rsid w:val="000E2AFE"/>
    <w:rsid w:val="000E6E18"/>
    <w:rsid w:val="000E745A"/>
    <w:rsid w:val="000F4D98"/>
    <w:rsid w:val="000F54FC"/>
    <w:rsid w:val="00100F36"/>
    <w:rsid w:val="00103534"/>
    <w:rsid w:val="00104A34"/>
    <w:rsid w:val="00104EDA"/>
    <w:rsid w:val="001062E1"/>
    <w:rsid w:val="00112609"/>
    <w:rsid w:val="001126DF"/>
    <w:rsid w:val="00113CB4"/>
    <w:rsid w:val="0011528F"/>
    <w:rsid w:val="00115B52"/>
    <w:rsid w:val="001221B0"/>
    <w:rsid w:val="00122B2D"/>
    <w:rsid w:val="0012496F"/>
    <w:rsid w:val="00125B4A"/>
    <w:rsid w:val="00126B30"/>
    <w:rsid w:val="00131D9F"/>
    <w:rsid w:val="00132818"/>
    <w:rsid w:val="0013752D"/>
    <w:rsid w:val="00137541"/>
    <w:rsid w:val="001378D7"/>
    <w:rsid w:val="001448F6"/>
    <w:rsid w:val="00145F99"/>
    <w:rsid w:val="001478FE"/>
    <w:rsid w:val="00151778"/>
    <w:rsid w:val="001534C9"/>
    <w:rsid w:val="001553F1"/>
    <w:rsid w:val="00161438"/>
    <w:rsid w:val="00162561"/>
    <w:rsid w:val="00164A85"/>
    <w:rsid w:val="00164C50"/>
    <w:rsid w:val="00166162"/>
    <w:rsid w:val="0016678C"/>
    <w:rsid w:val="001667D5"/>
    <w:rsid w:val="001714FE"/>
    <w:rsid w:val="0017155A"/>
    <w:rsid w:val="001754D6"/>
    <w:rsid w:val="00175CF1"/>
    <w:rsid w:val="0017673E"/>
    <w:rsid w:val="00176D66"/>
    <w:rsid w:val="001819C1"/>
    <w:rsid w:val="0018403E"/>
    <w:rsid w:val="00186685"/>
    <w:rsid w:val="00186C57"/>
    <w:rsid w:val="00195B42"/>
    <w:rsid w:val="001A37B7"/>
    <w:rsid w:val="001A3D21"/>
    <w:rsid w:val="001A76D3"/>
    <w:rsid w:val="001B06AA"/>
    <w:rsid w:val="001B2DEC"/>
    <w:rsid w:val="001B6E3A"/>
    <w:rsid w:val="001B7225"/>
    <w:rsid w:val="001C3CB9"/>
    <w:rsid w:val="001C4D3F"/>
    <w:rsid w:val="001C7596"/>
    <w:rsid w:val="001C79A3"/>
    <w:rsid w:val="001D573B"/>
    <w:rsid w:val="001D7C6F"/>
    <w:rsid w:val="001E32D8"/>
    <w:rsid w:val="001E466E"/>
    <w:rsid w:val="001F23A2"/>
    <w:rsid w:val="001F4EC6"/>
    <w:rsid w:val="001F52C6"/>
    <w:rsid w:val="001F5A06"/>
    <w:rsid w:val="001F5EF3"/>
    <w:rsid w:val="001F6A89"/>
    <w:rsid w:val="001F7BA6"/>
    <w:rsid w:val="0020181A"/>
    <w:rsid w:val="00201AFF"/>
    <w:rsid w:val="002025F8"/>
    <w:rsid w:val="00203DE8"/>
    <w:rsid w:val="002060A5"/>
    <w:rsid w:val="00206C25"/>
    <w:rsid w:val="0021102B"/>
    <w:rsid w:val="002110B2"/>
    <w:rsid w:val="00212E31"/>
    <w:rsid w:val="00213CC7"/>
    <w:rsid w:val="00215857"/>
    <w:rsid w:val="0021616F"/>
    <w:rsid w:val="00217389"/>
    <w:rsid w:val="00217903"/>
    <w:rsid w:val="00225C7C"/>
    <w:rsid w:val="00230A2D"/>
    <w:rsid w:val="00232088"/>
    <w:rsid w:val="002324E8"/>
    <w:rsid w:val="002329AA"/>
    <w:rsid w:val="00234879"/>
    <w:rsid w:val="002350AD"/>
    <w:rsid w:val="00235D1F"/>
    <w:rsid w:val="00236F2D"/>
    <w:rsid w:val="00242853"/>
    <w:rsid w:val="002428C0"/>
    <w:rsid w:val="00243647"/>
    <w:rsid w:val="002450F3"/>
    <w:rsid w:val="00246DAC"/>
    <w:rsid w:val="00251275"/>
    <w:rsid w:val="00255621"/>
    <w:rsid w:val="00257D62"/>
    <w:rsid w:val="00261B5E"/>
    <w:rsid w:val="00261FFB"/>
    <w:rsid w:val="00262E48"/>
    <w:rsid w:val="002637B3"/>
    <w:rsid w:val="00265BA0"/>
    <w:rsid w:val="0026793D"/>
    <w:rsid w:val="00270438"/>
    <w:rsid w:val="00270D95"/>
    <w:rsid w:val="00271779"/>
    <w:rsid w:val="00272460"/>
    <w:rsid w:val="00272FCF"/>
    <w:rsid w:val="00273139"/>
    <w:rsid w:val="00274ECA"/>
    <w:rsid w:val="002754B6"/>
    <w:rsid w:val="00276F3D"/>
    <w:rsid w:val="0028016E"/>
    <w:rsid w:val="00283112"/>
    <w:rsid w:val="002849B3"/>
    <w:rsid w:val="002872DE"/>
    <w:rsid w:val="00291739"/>
    <w:rsid w:val="00292A71"/>
    <w:rsid w:val="002934DD"/>
    <w:rsid w:val="00294979"/>
    <w:rsid w:val="00296A30"/>
    <w:rsid w:val="002A5742"/>
    <w:rsid w:val="002A7B6A"/>
    <w:rsid w:val="002B269C"/>
    <w:rsid w:val="002B2D08"/>
    <w:rsid w:val="002B5751"/>
    <w:rsid w:val="002B734F"/>
    <w:rsid w:val="002C1AC2"/>
    <w:rsid w:val="002C3070"/>
    <w:rsid w:val="002C5165"/>
    <w:rsid w:val="002D37F3"/>
    <w:rsid w:val="002D3BFC"/>
    <w:rsid w:val="002D428F"/>
    <w:rsid w:val="002D6DDB"/>
    <w:rsid w:val="002E005C"/>
    <w:rsid w:val="002E4095"/>
    <w:rsid w:val="002E6F0C"/>
    <w:rsid w:val="002F06CC"/>
    <w:rsid w:val="002F11E7"/>
    <w:rsid w:val="002F15D9"/>
    <w:rsid w:val="002F1DFC"/>
    <w:rsid w:val="002F3F5F"/>
    <w:rsid w:val="002F4B3F"/>
    <w:rsid w:val="002F5158"/>
    <w:rsid w:val="002F637F"/>
    <w:rsid w:val="002F7DCD"/>
    <w:rsid w:val="00300E3A"/>
    <w:rsid w:val="0030217B"/>
    <w:rsid w:val="0030352C"/>
    <w:rsid w:val="003043DD"/>
    <w:rsid w:val="0030749E"/>
    <w:rsid w:val="003105B9"/>
    <w:rsid w:val="00312449"/>
    <w:rsid w:val="003131A7"/>
    <w:rsid w:val="003209A5"/>
    <w:rsid w:val="003211BB"/>
    <w:rsid w:val="00322471"/>
    <w:rsid w:val="00322C8E"/>
    <w:rsid w:val="00322FA5"/>
    <w:rsid w:val="00324471"/>
    <w:rsid w:val="00324B94"/>
    <w:rsid w:val="00330F53"/>
    <w:rsid w:val="00333138"/>
    <w:rsid w:val="0033344E"/>
    <w:rsid w:val="003341A6"/>
    <w:rsid w:val="00336015"/>
    <w:rsid w:val="00340033"/>
    <w:rsid w:val="00340A49"/>
    <w:rsid w:val="00341DC6"/>
    <w:rsid w:val="00342F5E"/>
    <w:rsid w:val="00345A2D"/>
    <w:rsid w:val="00346513"/>
    <w:rsid w:val="003538A3"/>
    <w:rsid w:val="00356471"/>
    <w:rsid w:val="0036261C"/>
    <w:rsid w:val="00364F0C"/>
    <w:rsid w:val="00370957"/>
    <w:rsid w:val="0037171F"/>
    <w:rsid w:val="0037657E"/>
    <w:rsid w:val="00376BDB"/>
    <w:rsid w:val="00376E14"/>
    <w:rsid w:val="0038231C"/>
    <w:rsid w:val="00384705"/>
    <w:rsid w:val="00384A5E"/>
    <w:rsid w:val="00385004"/>
    <w:rsid w:val="00385A7A"/>
    <w:rsid w:val="003870C8"/>
    <w:rsid w:val="00390B33"/>
    <w:rsid w:val="003914CE"/>
    <w:rsid w:val="00395CFA"/>
    <w:rsid w:val="00395E35"/>
    <w:rsid w:val="003978A7"/>
    <w:rsid w:val="00397EB0"/>
    <w:rsid w:val="003A0B1E"/>
    <w:rsid w:val="003A2589"/>
    <w:rsid w:val="003A4284"/>
    <w:rsid w:val="003B1325"/>
    <w:rsid w:val="003B179E"/>
    <w:rsid w:val="003B3B79"/>
    <w:rsid w:val="003B429F"/>
    <w:rsid w:val="003B7109"/>
    <w:rsid w:val="003C09A5"/>
    <w:rsid w:val="003C3971"/>
    <w:rsid w:val="003C3FC8"/>
    <w:rsid w:val="003C4CC2"/>
    <w:rsid w:val="003C6842"/>
    <w:rsid w:val="003C6B77"/>
    <w:rsid w:val="003D0A5F"/>
    <w:rsid w:val="003D3293"/>
    <w:rsid w:val="003D3455"/>
    <w:rsid w:val="003D3C59"/>
    <w:rsid w:val="003D3E2F"/>
    <w:rsid w:val="003D5AD7"/>
    <w:rsid w:val="003D7229"/>
    <w:rsid w:val="003E0843"/>
    <w:rsid w:val="003E3A75"/>
    <w:rsid w:val="003E3AA6"/>
    <w:rsid w:val="003E5CAF"/>
    <w:rsid w:val="003F15EE"/>
    <w:rsid w:val="003F31BF"/>
    <w:rsid w:val="003F3260"/>
    <w:rsid w:val="003F5544"/>
    <w:rsid w:val="003F5621"/>
    <w:rsid w:val="00402158"/>
    <w:rsid w:val="00403DCF"/>
    <w:rsid w:val="00411382"/>
    <w:rsid w:val="00413847"/>
    <w:rsid w:val="00414065"/>
    <w:rsid w:val="00414E9F"/>
    <w:rsid w:val="004165FF"/>
    <w:rsid w:val="00421F7A"/>
    <w:rsid w:val="00426D4D"/>
    <w:rsid w:val="00432ED7"/>
    <w:rsid w:val="00433202"/>
    <w:rsid w:val="0043424D"/>
    <w:rsid w:val="00434F2E"/>
    <w:rsid w:val="00436AF4"/>
    <w:rsid w:val="00437028"/>
    <w:rsid w:val="004378AB"/>
    <w:rsid w:val="0044397E"/>
    <w:rsid w:val="00443BA8"/>
    <w:rsid w:val="00444D72"/>
    <w:rsid w:val="004458A4"/>
    <w:rsid w:val="004477B4"/>
    <w:rsid w:val="00451EC5"/>
    <w:rsid w:val="00453CDC"/>
    <w:rsid w:val="00455A45"/>
    <w:rsid w:val="00460FF5"/>
    <w:rsid w:val="004610F8"/>
    <w:rsid w:val="00464BF0"/>
    <w:rsid w:val="00470EA1"/>
    <w:rsid w:val="00471410"/>
    <w:rsid w:val="00471FDD"/>
    <w:rsid w:val="00472A66"/>
    <w:rsid w:val="00473F92"/>
    <w:rsid w:val="00474EBD"/>
    <w:rsid w:val="004770E6"/>
    <w:rsid w:val="00477297"/>
    <w:rsid w:val="0047734E"/>
    <w:rsid w:val="00480A9C"/>
    <w:rsid w:val="004833F1"/>
    <w:rsid w:val="004840CB"/>
    <w:rsid w:val="00486944"/>
    <w:rsid w:val="004934CD"/>
    <w:rsid w:val="00493AD5"/>
    <w:rsid w:val="00497B42"/>
    <w:rsid w:val="004A2223"/>
    <w:rsid w:val="004A27A0"/>
    <w:rsid w:val="004A2FF4"/>
    <w:rsid w:val="004A32B5"/>
    <w:rsid w:val="004A3A76"/>
    <w:rsid w:val="004A4946"/>
    <w:rsid w:val="004A4F37"/>
    <w:rsid w:val="004A7B14"/>
    <w:rsid w:val="004B0628"/>
    <w:rsid w:val="004B7787"/>
    <w:rsid w:val="004C2253"/>
    <w:rsid w:val="004C3B3B"/>
    <w:rsid w:val="004C523B"/>
    <w:rsid w:val="004C57A4"/>
    <w:rsid w:val="004C60A3"/>
    <w:rsid w:val="004D1EA9"/>
    <w:rsid w:val="004D24EB"/>
    <w:rsid w:val="004D27DE"/>
    <w:rsid w:val="004D27E9"/>
    <w:rsid w:val="004D42EC"/>
    <w:rsid w:val="004D50D2"/>
    <w:rsid w:val="004D5F5B"/>
    <w:rsid w:val="004E010B"/>
    <w:rsid w:val="004E1B07"/>
    <w:rsid w:val="004E3FE4"/>
    <w:rsid w:val="004E6146"/>
    <w:rsid w:val="004E78AB"/>
    <w:rsid w:val="00502E09"/>
    <w:rsid w:val="005052BD"/>
    <w:rsid w:val="00505948"/>
    <w:rsid w:val="00507FEB"/>
    <w:rsid w:val="005101DA"/>
    <w:rsid w:val="00514C9C"/>
    <w:rsid w:val="005210B9"/>
    <w:rsid w:val="00522C07"/>
    <w:rsid w:val="0052361E"/>
    <w:rsid w:val="00524F88"/>
    <w:rsid w:val="00526D64"/>
    <w:rsid w:val="005270CA"/>
    <w:rsid w:val="005301AF"/>
    <w:rsid w:val="005324C5"/>
    <w:rsid w:val="00532F7B"/>
    <w:rsid w:val="00533B1A"/>
    <w:rsid w:val="00535D9C"/>
    <w:rsid w:val="00535EDA"/>
    <w:rsid w:val="00536A12"/>
    <w:rsid w:val="00537849"/>
    <w:rsid w:val="005432EB"/>
    <w:rsid w:val="0054690F"/>
    <w:rsid w:val="00547563"/>
    <w:rsid w:val="005519DA"/>
    <w:rsid w:val="00552E2A"/>
    <w:rsid w:val="005538F9"/>
    <w:rsid w:val="00554DBC"/>
    <w:rsid w:val="005600C5"/>
    <w:rsid w:val="00561F1B"/>
    <w:rsid w:val="0057023F"/>
    <w:rsid w:val="00570E60"/>
    <w:rsid w:val="00571374"/>
    <w:rsid w:val="00573683"/>
    <w:rsid w:val="00573AA9"/>
    <w:rsid w:val="00583BE0"/>
    <w:rsid w:val="0058744B"/>
    <w:rsid w:val="00587E6D"/>
    <w:rsid w:val="005913DE"/>
    <w:rsid w:val="00593223"/>
    <w:rsid w:val="00596F2C"/>
    <w:rsid w:val="00597134"/>
    <w:rsid w:val="005A06B5"/>
    <w:rsid w:val="005A11E4"/>
    <w:rsid w:val="005A19E6"/>
    <w:rsid w:val="005A3400"/>
    <w:rsid w:val="005A43A1"/>
    <w:rsid w:val="005A610C"/>
    <w:rsid w:val="005A6882"/>
    <w:rsid w:val="005B0FDC"/>
    <w:rsid w:val="005B12A5"/>
    <w:rsid w:val="005B4AAF"/>
    <w:rsid w:val="005B583E"/>
    <w:rsid w:val="005B5977"/>
    <w:rsid w:val="005B6FBB"/>
    <w:rsid w:val="005B77B1"/>
    <w:rsid w:val="005B798C"/>
    <w:rsid w:val="005B7BA5"/>
    <w:rsid w:val="005C14B2"/>
    <w:rsid w:val="005C2038"/>
    <w:rsid w:val="005C392B"/>
    <w:rsid w:val="005D1585"/>
    <w:rsid w:val="005D2990"/>
    <w:rsid w:val="005D4ED1"/>
    <w:rsid w:val="005D72CD"/>
    <w:rsid w:val="005D7AFA"/>
    <w:rsid w:val="005E55BF"/>
    <w:rsid w:val="005E636D"/>
    <w:rsid w:val="005E6F86"/>
    <w:rsid w:val="005E6FFA"/>
    <w:rsid w:val="005E740D"/>
    <w:rsid w:val="005F1B56"/>
    <w:rsid w:val="005F1D5F"/>
    <w:rsid w:val="005F5DBF"/>
    <w:rsid w:val="005F7FE0"/>
    <w:rsid w:val="00604342"/>
    <w:rsid w:val="00604DD4"/>
    <w:rsid w:val="00611995"/>
    <w:rsid w:val="006119AB"/>
    <w:rsid w:val="00612F2B"/>
    <w:rsid w:val="00613340"/>
    <w:rsid w:val="00615422"/>
    <w:rsid w:val="006157C4"/>
    <w:rsid w:val="00623EF3"/>
    <w:rsid w:val="00625FB7"/>
    <w:rsid w:val="00630C6C"/>
    <w:rsid w:val="0063386B"/>
    <w:rsid w:val="006338C9"/>
    <w:rsid w:val="00633D14"/>
    <w:rsid w:val="00635D2A"/>
    <w:rsid w:val="00637975"/>
    <w:rsid w:val="00640B5D"/>
    <w:rsid w:val="00644845"/>
    <w:rsid w:val="0065346E"/>
    <w:rsid w:val="006549A4"/>
    <w:rsid w:val="00655660"/>
    <w:rsid w:val="006577B8"/>
    <w:rsid w:val="00660132"/>
    <w:rsid w:val="0066060A"/>
    <w:rsid w:val="00661064"/>
    <w:rsid w:val="006629C8"/>
    <w:rsid w:val="00662A80"/>
    <w:rsid w:val="00663BEE"/>
    <w:rsid w:val="00666362"/>
    <w:rsid w:val="00666CF0"/>
    <w:rsid w:val="00666FF0"/>
    <w:rsid w:val="006713F8"/>
    <w:rsid w:val="00671A0B"/>
    <w:rsid w:val="006726A5"/>
    <w:rsid w:val="0067369D"/>
    <w:rsid w:val="00674B3D"/>
    <w:rsid w:val="00677167"/>
    <w:rsid w:val="00677FEB"/>
    <w:rsid w:val="00680DCE"/>
    <w:rsid w:val="0068178A"/>
    <w:rsid w:val="00681DDF"/>
    <w:rsid w:val="00683150"/>
    <w:rsid w:val="006874B7"/>
    <w:rsid w:val="006921CA"/>
    <w:rsid w:val="0069771C"/>
    <w:rsid w:val="006A00F8"/>
    <w:rsid w:val="006A0560"/>
    <w:rsid w:val="006A263E"/>
    <w:rsid w:val="006A2A33"/>
    <w:rsid w:val="006A44E4"/>
    <w:rsid w:val="006A4DCD"/>
    <w:rsid w:val="006A6B5E"/>
    <w:rsid w:val="006B1B62"/>
    <w:rsid w:val="006B2FD0"/>
    <w:rsid w:val="006B528B"/>
    <w:rsid w:val="006B561B"/>
    <w:rsid w:val="006B6FB6"/>
    <w:rsid w:val="006C3292"/>
    <w:rsid w:val="006C4CCC"/>
    <w:rsid w:val="006C729D"/>
    <w:rsid w:val="006D0163"/>
    <w:rsid w:val="006D03C8"/>
    <w:rsid w:val="006D4FA4"/>
    <w:rsid w:val="006D795C"/>
    <w:rsid w:val="006E185F"/>
    <w:rsid w:val="006E270E"/>
    <w:rsid w:val="006E272F"/>
    <w:rsid w:val="006E3C20"/>
    <w:rsid w:val="006E5B63"/>
    <w:rsid w:val="006E5F2C"/>
    <w:rsid w:val="006E616C"/>
    <w:rsid w:val="006E7A07"/>
    <w:rsid w:val="006F07C5"/>
    <w:rsid w:val="006F1774"/>
    <w:rsid w:val="006F195C"/>
    <w:rsid w:val="006F1C80"/>
    <w:rsid w:val="006F3C8B"/>
    <w:rsid w:val="006F4D5B"/>
    <w:rsid w:val="006F5A55"/>
    <w:rsid w:val="007012FF"/>
    <w:rsid w:val="00701EF1"/>
    <w:rsid w:val="00703510"/>
    <w:rsid w:val="0070550A"/>
    <w:rsid w:val="007109C2"/>
    <w:rsid w:val="00714039"/>
    <w:rsid w:val="00717321"/>
    <w:rsid w:val="00717D5A"/>
    <w:rsid w:val="00720443"/>
    <w:rsid w:val="00721D98"/>
    <w:rsid w:val="00721DD7"/>
    <w:rsid w:val="007229AA"/>
    <w:rsid w:val="00722BEC"/>
    <w:rsid w:val="007254A5"/>
    <w:rsid w:val="00725908"/>
    <w:rsid w:val="00725F2C"/>
    <w:rsid w:val="00725F84"/>
    <w:rsid w:val="00727A24"/>
    <w:rsid w:val="00736A2E"/>
    <w:rsid w:val="00740BE5"/>
    <w:rsid w:val="007411AB"/>
    <w:rsid w:val="00741BEF"/>
    <w:rsid w:val="0074416E"/>
    <w:rsid w:val="007461D2"/>
    <w:rsid w:val="007477A9"/>
    <w:rsid w:val="0075239F"/>
    <w:rsid w:val="00754353"/>
    <w:rsid w:val="0075471E"/>
    <w:rsid w:val="00756A27"/>
    <w:rsid w:val="00757058"/>
    <w:rsid w:val="0075725F"/>
    <w:rsid w:val="00761942"/>
    <w:rsid w:val="00763EB6"/>
    <w:rsid w:val="00764A62"/>
    <w:rsid w:val="00764F6F"/>
    <w:rsid w:val="00766E0E"/>
    <w:rsid w:val="00771611"/>
    <w:rsid w:val="0077234C"/>
    <w:rsid w:val="00774DA5"/>
    <w:rsid w:val="0077620F"/>
    <w:rsid w:val="007772CD"/>
    <w:rsid w:val="007778B4"/>
    <w:rsid w:val="00781D2F"/>
    <w:rsid w:val="007828FB"/>
    <w:rsid w:val="00782F3A"/>
    <w:rsid w:val="00790CCB"/>
    <w:rsid w:val="00791FC7"/>
    <w:rsid w:val="0079734D"/>
    <w:rsid w:val="007A01C0"/>
    <w:rsid w:val="007A593B"/>
    <w:rsid w:val="007B0F4D"/>
    <w:rsid w:val="007B34B9"/>
    <w:rsid w:val="007B6C82"/>
    <w:rsid w:val="007B6C92"/>
    <w:rsid w:val="007C03BB"/>
    <w:rsid w:val="007C0E06"/>
    <w:rsid w:val="007C1FCE"/>
    <w:rsid w:val="007D0AC7"/>
    <w:rsid w:val="007D0D8C"/>
    <w:rsid w:val="007D342B"/>
    <w:rsid w:val="007D41C6"/>
    <w:rsid w:val="007D545F"/>
    <w:rsid w:val="007D5BFE"/>
    <w:rsid w:val="007E03D5"/>
    <w:rsid w:val="007E1076"/>
    <w:rsid w:val="007E25FD"/>
    <w:rsid w:val="007E2C3B"/>
    <w:rsid w:val="007E48B3"/>
    <w:rsid w:val="007E5004"/>
    <w:rsid w:val="007E5C19"/>
    <w:rsid w:val="007F3A4A"/>
    <w:rsid w:val="007F3E02"/>
    <w:rsid w:val="007F5729"/>
    <w:rsid w:val="007F7979"/>
    <w:rsid w:val="0080034B"/>
    <w:rsid w:val="008018E5"/>
    <w:rsid w:val="00802F41"/>
    <w:rsid w:val="0080371C"/>
    <w:rsid w:val="00803FF1"/>
    <w:rsid w:val="00816314"/>
    <w:rsid w:val="008222A5"/>
    <w:rsid w:val="00823632"/>
    <w:rsid w:val="00823F12"/>
    <w:rsid w:val="00826883"/>
    <w:rsid w:val="008304D9"/>
    <w:rsid w:val="0083208A"/>
    <w:rsid w:val="00833605"/>
    <w:rsid w:val="00835019"/>
    <w:rsid w:val="008359E4"/>
    <w:rsid w:val="00836857"/>
    <w:rsid w:val="0083745C"/>
    <w:rsid w:val="00840A62"/>
    <w:rsid w:val="008426A3"/>
    <w:rsid w:val="00842C48"/>
    <w:rsid w:val="00843886"/>
    <w:rsid w:val="00843DAA"/>
    <w:rsid w:val="00845387"/>
    <w:rsid w:val="008457A6"/>
    <w:rsid w:val="00846D6F"/>
    <w:rsid w:val="0085272C"/>
    <w:rsid w:val="00855007"/>
    <w:rsid w:val="008555B4"/>
    <w:rsid w:val="00857393"/>
    <w:rsid w:val="0086020D"/>
    <w:rsid w:val="00861C25"/>
    <w:rsid w:val="008624D9"/>
    <w:rsid w:val="00865042"/>
    <w:rsid w:val="008657F2"/>
    <w:rsid w:val="0086686E"/>
    <w:rsid w:val="008671DB"/>
    <w:rsid w:val="00870230"/>
    <w:rsid w:val="00871DA8"/>
    <w:rsid w:val="0087373E"/>
    <w:rsid w:val="00874194"/>
    <w:rsid w:val="00875A1C"/>
    <w:rsid w:val="00877285"/>
    <w:rsid w:val="008837DA"/>
    <w:rsid w:val="00885DD5"/>
    <w:rsid w:val="00887EBA"/>
    <w:rsid w:val="00891281"/>
    <w:rsid w:val="008921D1"/>
    <w:rsid w:val="00893311"/>
    <w:rsid w:val="00893C55"/>
    <w:rsid w:val="00894057"/>
    <w:rsid w:val="00894431"/>
    <w:rsid w:val="00895144"/>
    <w:rsid w:val="00895633"/>
    <w:rsid w:val="0089787E"/>
    <w:rsid w:val="0089797D"/>
    <w:rsid w:val="008A2964"/>
    <w:rsid w:val="008A2AC0"/>
    <w:rsid w:val="008A326D"/>
    <w:rsid w:val="008A4458"/>
    <w:rsid w:val="008A6108"/>
    <w:rsid w:val="008B0F67"/>
    <w:rsid w:val="008B177B"/>
    <w:rsid w:val="008B36A9"/>
    <w:rsid w:val="008B63B2"/>
    <w:rsid w:val="008B69D5"/>
    <w:rsid w:val="008B73B4"/>
    <w:rsid w:val="008C0571"/>
    <w:rsid w:val="008C0E27"/>
    <w:rsid w:val="008C1B55"/>
    <w:rsid w:val="008C6AE3"/>
    <w:rsid w:val="008D0D70"/>
    <w:rsid w:val="008D1F67"/>
    <w:rsid w:val="008D30FB"/>
    <w:rsid w:val="008D4B0A"/>
    <w:rsid w:val="008D7E05"/>
    <w:rsid w:val="008E543C"/>
    <w:rsid w:val="008E59FA"/>
    <w:rsid w:val="008E64A1"/>
    <w:rsid w:val="008F04B3"/>
    <w:rsid w:val="008F0CE2"/>
    <w:rsid w:val="008F102F"/>
    <w:rsid w:val="008F1BB0"/>
    <w:rsid w:val="008F30E0"/>
    <w:rsid w:val="008F5213"/>
    <w:rsid w:val="008F5F16"/>
    <w:rsid w:val="008F7515"/>
    <w:rsid w:val="008F775A"/>
    <w:rsid w:val="008F7EC0"/>
    <w:rsid w:val="0090396A"/>
    <w:rsid w:val="00903DB8"/>
    <w:rsid w:val="00905663"/>
    <w:rsid w:val="00906910"/>
    <w:rsid w:val="0090750B"/>
    <w:rsid w:val="00907C3B"/>
    <w:rsid w:val="00914224"/>
    <w:rsid w:val="00914641"/>
    <w:rsid w:val="00914CC7"/>
    <w:rsid w:val="00915096"/>
    <w:rsid w:val="00915D4E"/>
    <w:rsid w:val="00916C3A"/>
    <w:rsid w:val="00917EAF"/>
    <w:rsid w:val="00925BA9"/>
    <w:rsid w:val="0092731E"/>
    <w:rsid w:val="00927F1D"/>
    <w:rsid w:val="0093061D"/>
    <w:rsid w:val="009317B7"/>
    <w:rsid w:val="00936F26"/>
    <w:rsid w:val="00940B79"/>
    <w:rsid w:val="00941871"/>
    <w:rsid w:val="00942F44"/>
    <w:rsid w:val="009441B3"/>
    <w:rsid w:val="0094530E"/>
    <w:rsid w:val="009462A6"/>
    <w:rsid w:val="00946703"/>
    <w:rsid w:val="0094719F"/>
    <w:rsid w:val="0094775A"/>
    <w:rsid w:val="00961EFC"/>
    <w:rsid w:val="00967DA3"/>
    <w:rsid w:val="009713D7"/>
    <w:rsid w:val="00972E3A"/>
    <w:rsid w:val="0097347B"/>
    <w:rsid w:val="00973569"/>
    <w:rsid w:val="00975906"/>
    <w:rsid w:val="00976250"/>
    <w:rsid w:val="009772E1"/>
    <w:rsid w:val="00982AF6"/>
    <w:rsid w:val="009846CC"/>
    <w:rsid w:val="00990CA0"/>
    <w:rsid w:val="00994B89"/>
    <w:rsid w:val="009A35BA"/>
    <w:rsid w:val="009A4B75"/>
    <w:rsid w:val="009A4D0F"/>
    <w:rsid w:val="009B03F6"/>
    <w:rsid w:val="009C5B3C"/>
    <w:rsid w:val="009C6026"/>
    <w:rsid w:val="009C7551"/>
    <w:rsid w:val="009D1850"/>
    <w:rsid w:val="009D2D1B"/>
    <w:rsid w:val="009D34EF"/>
    <w:rsid w:val="009D6578"/>
    <w:rsid w:val="009E338D"/>
    <w:rsid w:val="009E6B1C"/>
    <w:rsid w:val="009E7197"/>
    <w:rsid w:val="009E7609"/>
    <w:rsid w:val="009E7CDF"/>
    <w:rsid w:val="009F0CAA"/>
    <w:rsid w:val="009F4D59"/>
    <w:rsid w:val="009F57FE"/>
    <w:rsid w:val="00A00B13"/>
    <w:rsid w:val="00A00D82"/>
    <w:rsid w:val="00A035FA"/>
    <w:rsid w:val="00A0377D"/>
    <w:rsid w:val="00A03EBB"/>
    <w:rsid w:val="00A04685"/>
    <w:rsid w:val="00A0502B"/>
    <w:rsid w:val="00A06B45"/>
    <w:rsid w:val="00A06DCA"/>
    <w:rsid w:val="00A07BCF"/>
    <w:rsid w:val="00A10047"/>
    <w:rsid w:val="00A1207E"/>
    <w:rsid w:val="00A135F4"/>
    <w:rsid w:val="00A15F97"/>
    <w:rsid w:val="00A16D14"/>
    <w:rsid w:val="00A20520"/>
    <w:rsid w:val="00A20DFE"/>
    <w:rsid w:val="00A22207"/>
    <w:rsid w:val="00A2239E"/>
    <w:rsid w:val="00A23CCF"/>
    <w:rsid w:val="00A249DD"/>
    <w:rsid w:val="00A27231"/>
    <w:rsid w:val="00A307D9"/>
    <w:rsid w:val="00A30B16"/>
    <w:rsid w:val="00A33EA2"/>
    <w:rsid w:val="00A34C87"/>
    <w:rsid w:val="00A34E89"/>
    <w:rsid w:val="00A35813"/>
    <w:rsid w:val="00A424E4"/>
    <w:rsid w:val="00A43914"/>
    <w:rsid w:val="00A44A87"/>
    <w:rsid w:val="00A51DCF"/>
    <w:rsid w:val="00A522A5"/>
    <w:rsid w:val="00A53B94"/>
    <w:rsid w:val="00A549DE"/>
    <w:rsid w:val="00A54B42"/>
    <w:rsid w:val="00A55427"/>
    <w:rsid w:val="00A602C1"/>
    <w:rsid w:val="00A60BDD"/>
    <w:rsid w:val="00A642D9"/>
    <w:rsid w:val="00A6796F"/>
    <w:rsid w:val="00A7043F"/>
    <w:rsid w:val="00A70AB1"/>
    <w:rsid w:val="00A73440"/>
    <w:rsid w:val="00A76392"/>
    <w:rsid w:val="00A7669D"/>
    <w:rsid w:val="00A769DE"/>
    <w:rsid w:val="00A80F1B"/>
    <w:rsid w:val="00A82DAC"/>
    <w:rsid w:val="00A91054"/>
    <w:rsid w:val="00A92544"/>
    <w:rsid w:val="00A92A2C"/>
    <w:rsid w:val="00A92E45"/>
    <w:rsid w:val="00A94FDF"/>
    <w:rsid w:val="00A97BE5"/>
    <w:rsid w:val="00AA0567"/>
    <w:rsid w:val="00AA2221"/>
    <w:rsid w:val="00AA69BC"/>
    <w:rsid w:val="00AA6E7A"/>
    <w:rsid w:val="00AA7373"/>
    <w:rsid w:val="00AB0247"/>
    <w:rsid w:val="00AB3E93"/>
    <w:rsid w:val="00AB420F"/>
    <w:rsid w:val="00AB4CE4"/>
    <w:rsid w:val="00AB7AED"/>
    <w:rsid w:val="00AC009D"/>
    <w:rsid w:val="00AC0184"/>
    <w:rsid w:val="00AC0205"/>
    <w:rsid w:val="00AC1103"/>
    <w:rsid w:val="00AC282D"/>
    <w:rsid w:val="00AC3A2D"/>
    <w:rsid w:val="00AC420C"/>
    <w:rsid w:val="00AC6DF0"/>
    <w:rsid w:val="00AC7908"/>
    <w:rsid w:val="00AD10B5"/>
    <w:rsid w:val="00AD229B"/>
    <w:rsid w:val="00AD2513"/>
    <w:rsid w:val="00AD2985"/>
    <w:rsid w:val="00AD48CC"/>
    <w:rsid w:val="00AD4CE8"/>
    <w:rsid w:val="00AD5A30"/>
    <w:rsid w:val="00AD61B0"/>
    <w:rsid w:val="00AE0D9C"/>
    <w:rsid w:val="00AE12F0"/>
    <w:rsid w:val="00AE26B4"/>
    <w:rsid w:val="00AE360F"/>
    <w:rsid w:val="00AE4703"/>
    <w:rsid w:val="00AF0E25"/>
    <w:rsid w:val="00AF119F"/>
    <w:rsid w:val="00AF18D8"/>
    <w:rsid w:val="00AF18F6"/>
    <w:rsid w:val="00AF35B4"/>
    <w:rsid w:val="00AF6269"/>
    <w:rsid w:val="00B02DB2"/>
    <w:rsid w:val="00B03962"/>
    <w:rsid w:val="00B059DD"/>
    <w:rsid w:val="00B07006"/>
    <w:rsid w:val="00B10933"/>
    <w:rsid w:val="00B13BB4"/>
    <w:rsid w:val="00B26498"/>
    <w:rsid w:val="00B300D4"/>
    <w:rsid w:val="00B305E0"/>
    <w:rsid w:val="00B333E1"/>
    <w:rsid w:val="00B33A3A"/>
    <w:rsid w:val="00B341DD"/>
    <w:rsid w:val="00B356E9"/>
    <w:rsid w:val="00B3607A"/>
    <w:rsid w:val="00B36F22"/>
    <w:rsid w:val="00B42FC6"/>
    <w:rsid w:val="00B44881"/>
    <w:rsid w:val="00B46916"/>
    <w:rsid w:val="00B56126"/>
    <w:rsid w:val="00B57F8D"/>
    <w:rsid w:val="00B61B16"/>
    <w:rsid w:val="00B64329"/>
    <w:rsid w:val="00B64C49"/>
    <w:rsid w:val="00B67B95"/>
    <w:rsid w:val="00B779E5"/>
    <w:rsid w:val="00B8230D"/>
    <w:rsid w:val="00B84E73"/>
    <w:rsid w:val="00B85F62"/>
    <w:rsid w:val="00B86305"/>
    <w:rsid w:val="00B866BD"/>
    <w:rsid w:val="00B904BD"/>
    <w:rsid w:val="00B90953"/>
    <w:rsid w:val="00B9247C"/>
    <w:rsid w:val="00BA52EF"/>
    <w:rsid w:val="00BA5933"/>
    <w:rsid w:val="00BB0D84"/>
    <w:rsid w:val="00BB1E76"/>
    <w:rsid w:val="00BB42E2"/>
    <w:rsid w:val="00BB59BE"/>
    <w:rsid w:val="00BB5D91"/>
    <w:rsid w:val="00BB6970"/>
    <w:rsid w:val="00BB7108"/>
    <w:rsid w:val="00BC0F85"/>
    <w:rsid w:val="00BC2111"/>
    <w:rsid w:val="00BC4005"/>
    <w:rsid w:val="00BC40B1"/>
    <w:rsid w:val="00BC740D"/>
    <w:rsid w:val="00BD0ADF"/>
    <w:rsid w:val="00BD0B66"/>
    <w:rsid w:val="00BD1D96"/>
    <w:rsid w:val="00BD498C"/>
    <w:rsid w:val="00BD4C04"/>
    <w:rsid w:val="00BD512C"/>
    <w:rsid w:val="00BE2B32"/>
    <w:rsid w:val="00BE5D35"/>
    <w:rsid w:val="00BE7056"/>
    <w:rsid w:val="00BF36FD"/>
    <w:rsid w:val="00BF542E"/>
    <w:rsid w:val="00BF5FAC"/>
    <w:rsid w:val="00C01F2C"/>
    <w:rsid w:val="00C02F31"/>
    <w:rsid w:val="00C05271"/>
    <w:rsid w:val="00C05F49"/>
    <w:rsid w:val="00C06B6D"/>
    <w:rsid w:val="00C07AF1"/>
    <w:rsid w:val="00C1111E"/>
    <w:rsid w:val="00C1236D"/>
    <w:rsid w:val="00C150DE"/>
    <w:rsid w:val="00C15795"/>
    <w:rsid w:val="00C20EF1"/>
    <w:rsid w:val="00C22627"/>
    <w:rsid w:val="00C264B1"/>
    <w:rsid w:val="00C27B52"/>
    <w:rsid w:val="00C327D3"/>
    <w:rsid w:val="00C3385E"/>
    <w:rsid w:val="00C34376"/>
    <w:rsid w:val="00C34D52"/>
    <w:rsid w:val="00C35325"/>
    <w:rsid w:val="00C36436"/>
    <w:rsid w:val="00C3742A"/>
    <w:rsid w:val="00C37EDF"/>
    <w:rsid w:val="00C44005"/>
    <w:rsid w:val="00C44BFB"/>
    <w:rsid w:val="00C45C06"/>
    <w:rsid w:val="00C46E68"/>
    <w:rsid w:val="00C470B9"/>
    <w:rsid w:val="00C5513B"/>
    <w:rsid w:val="00C57F1A"/>
    <w:rsid w:val="00C625F1"/>
    <w:rsid w:val="00C65704"/>
    <w:rsid w:val="00C66FC3"/>
    <w:rsid w:val="00C70E1E"/>
    <w:rsid w:val="00C768B5"/>
    <w:rsid w:val="00C80386"/>
    <w:rsid w:val="00C81A39"/>
    <w:rsid w:val="00C82AE9"/>
    <w:rsid w:val="00C85836"/>
    <w:rsid w:val="00C85DE9"/>
    <w:rsid w:val="00C9347A"/>
    <w:rsid w:val="00C94EA6"/>
    <w:rsid w:val="00C9538D"/>
    <w:rsid w:val="00CA04D7"/>
    <w:rsid w:val="00CA2436"/>
    <w:rsid w:val="00CA346E"/>
    <w:rsid w:val="00CB03C6"/>
    <w:rsid w:val="00CB0949"/>
    <w:rsid w:val="00CB1363"/>
    <w:rsid w:val="00CB3A6B"/>
    <w:rsid w:val="00CB3D91"/>
    <w:rsid w:val="00CC27FC"/>
    <w:rsid w:val="00CC36D2"/>
    <w:rsid w:val="00CC38F7"/>
    <w:rsid w:val="00CC4CAC"/>
    <w:rsid w:val="00CD0C6C"/>
    <w:rsid w:val="00CD0F06"/>
    <w:rsid w:val="00CD13C3"/>
    <w:rsid w:val="00CD160F"/>
    <w:rsid w:val="00CD2BA0"/>
    <w:rsid w:val="00CD48F9"/>
    <w:rsid w:val="00CD5B3B"/>
    <w:rsid w:val="00CE21C2"/>
    <w:rsid w:val="00CE2939"/>
    <w:rsid w:val="00CE2BD6"/>
    <w:rsid w:val="00CE3FFD"/>
    <w:rsid w:val="00CE6757"/>
    <w:rsid w:val="00CF1B09"/>
    <w:rsid w:val="00CF3927"/>
    <w:rsid w:val="00CF459C"/>
    <w:rsid w:val="00CF53E4"/>
    <w:rsid w:val="00CF7B04"/>
    <w:rsid w:val="00D004FB"/>
    <w:rsid w:val="00D01CE6"/>
    <w:rsid w:val="00D0246A"/>
    <w:rsid w:val="00D02E6A"/>
    <w:rsid w:val="00D033FE"/>
    <w:rsid w:val="00D03DC6"/>
    <w:rsid w:val="00D04639"/>
    <w:rsid w:val="00D054B6"/>
    <w:rsid w:val="00D06B4F"/>
    <w:rsid w:val="00D06E9C"/>
    <w:rsid w:val="00D1091E"/>
    <w:rsid w:val="00D13C78"/>
    <w:rsid w:val="00D142F3"/>
    <w:rsid w:val="00D15691"/>
    <w:rsid w:val="00D167BF"/>
    <w:rsid w:val="00D21D88"/>
    <w:rsid w:val="00D221DD"/>
    <w:rsid w:val="00D22C89"/>
    <w:rsid w:val="00D27136"/>
    <w:rsid w:val="00D30064"/>
    <w:rsid w:val="00D3015C"/>
    <w:rsid w:val="00D317E7"/>
    <w:rsid w:val="00D3277A"/>
    <w:rsid w:val="00D332C7"/>
    <w:rsid w:val="00D34D2B"/>
    <w:rsid w:val="00D356F6"/>
    <w:rsid w:val="00D35AA0"/>
    <w:rsid w:val="00D36A74"/>
    <w:rsid w:val="00D36ADF"/>
    <w:rsid w:val="00D44F95"/>
    <w:rsid w:val="00D46C02"/>
    <w:rsid w:val="00D51B6E"/>
    <w:rsid w:val="00D5211C"/>
    <w:rsid w:val="00D53054"/>
    <w:rsid w:val="00D5398D"/>
    <w:rsid w:val="00D54AAC"/>
    <w:rsid w:val="00D57CB2"/>
    <w:rsid w:val="00D6139E"/>
    <w:rsid w:val="00D62D07"/>
    <w:rsid w:val="00D71D46"/>
    <w:rsid w:val="00D74ABB"/>
    <w:rsid w:val="00D751D8"/>
    <w:rsid w:val="00D80AF5"/>
    <w:rsid w:val="00D8307A"/>
    <w:rsid w:val="00D83BA5"/>
    <w:rsid w:val="00D840D0"/>
    <w:rsid w:val="00D85EDA"/>
    <w:rsid w:val="00D86B9E"/>
    <w:rsid w:val="00D86F1D"/>
    <w:rsid w:val="00D87E1F"/>
    <w:rsid w:val="00D9324F"/>
    <w:rsid w:val="00D93364"/>
    <w:rsid w:val="00D934AF"/>
    <w:rsid w:val="00D93CEF"/>
    <w:rsid w:val="00DA67F5"/>
    <w:rsid w:val="00DA6D6F"/>
    <w:rsid w:val="00DB08AA"/>
    <w:rsid w:val="00DB2C0C"/>
    <w:rsid w:val="00DB36BE"/>
    <w:rsid w:val="00DB3C77"/>
    <w:rsid w:val="00DB5192"/>
    <w:rsid w:val="00DB5816"/>
    <w:rsid w:val="00DB6AF9"/>
    <w:rsid w:val="00DC1355"/>
    <w:rsid w:val="00DC18FB"/>
    <w:rsid w:val="00DC1D59"/>
    <w:rsid w:val="00DC3572"/>
    <w:rsid w:val="00DD061A"/>
    <w:rsid w:val="00DD0B95"/>
    <w:rsid w:val="00DD1A00"/>
    <w:rsid w:val="00DD24A0"/>
    <w:rsid w:val="00DD35B4"/>
    <w:rsid w:val="00DD4D8C"/>
    <w:rsid w:val="00DD6381"/>
    <w:rsid w:val="00DD6E32"/>
    <w:rsid w:val="00DE0FF7"/>
    <w:rsid w:val="00DE46C3"/>
    <w:rsid w:val="00DE5CDD"/>
    <w:rsid w:val="00DF0521"/>
    <w:rsid w:val="00DF094D"/>
    <w:rsid w:val="00DF0D96"/>
    <w:rsid w:val="00DF0E5B"/>
    <w:rsid w:val="00DF271E"/>
    <w:rsid w:val="00DF41BC"/>
    <w:rsid w:val="00DF4593"/>
    <w:rsid w:val="00DF4D16"/>
    <w:rsid w:val="00DF5344"/>
    <w:rsid w:val="00DF7667"/>
    <w:rsid w:val="00E124A5"/>
    <w:rsid w:val="00E14E4F"/>
    <w:rsid w:val="00E1529E"/>
    <w:rsid w:val="00E152C6"/>
    <w:rsid w:val="00E15B03"/>
    <w:rsid w:val="00E171A7"/>
    <w:rsid w:val="00E21399"/>
    <w:rsid w:val="00E227A9"/>
    <w:rsid w:val="00E24BBB"/>
    <w:rsid w:val="00E2513A"/>
    <w:rsid w:val="00E26172"/>
    <w:rsid w:val="00E32186"/>
    <w:rsid w:val="00E36407"/>
    <w:rsid w:val="00E41A73"/>
    <w:rsid w:val="00E42871"/>
    <w:rsid w:val="00E429AA"/>
    <w:rsid w:val="00E4597D"/>
    <w:rsid w:val="00E45DFA"/>
    <w:rsid w:val="00E46E42"/>
    <w:rsid w:val="00E50039"/>
    <w:rsid w:val="00E51972"/>
    <w:rsid w:val="00E51FF1"/>
    <w:rsid w:val="00E537E2"/>
    <w:rsid w:val="00E541C1"/>
    <w:rsid w:val="00E562FC"/>
    <w:rsid w:val="00E60564"/>
    <w:rsid w:val="00E63C62"/>
    <w:rsid w:val="00E64646"/>
    <w:rsid w:val="00E72150"/>
    <w:rsid w:val="00E722E8"/>
    <w:rsid w:val="00E7406E"/>
    <w:rsid w:val="00E77D64"/>
    <w:rsid w:val="00E80D5E"/>
    <w:rsid w:val="00E82535"/>
    <w:rsid w:val="00E83574"/>
    <w:rsid w:val="00E84EE2"/>
    <w:rsid w:val="00E862C4"/>
    <w:rsid w:val="00E91456"/>
    <w:rsid w:val="00E958AC"/>
    <w:rsid w:val="00E9659B"/>
    <w:rsid w:val="00EA0F6C"/>
    <w:rsid w:val="00EA129A"/>
    <w:rsid w:val="00EA3FDF"/>
    <w:rsid w:val="00EA4400"/>
    <w:rsid w:val="00EA4410"/>
    <w:rsid w:val="00EA5BD1"/>
    <w:rsid w:val="00EB0012"/>
    <w:rsid w:val="00EB193A"/>
    <w:rsid w:val="00EB5D0D"/>
    <w:rsid w:val="00EB659F"/>
    <w:rsid w:val="00EC045C"/>
    <w:rsid w:val="00EC1EE8"/>
    <w:rsid w:val="00EC593A"/>
    <w:rsid w:val="00EC69E5"/>
    <w:rsid w:val="00ED0D54"/>
    <w:rsid w:val="00ED3667"/>
    <w:rsid w:val="00ED7863"/>
    <w:rsid w:val="00EE32F2"/>
    <w:rsid w:val="00EE59DA"/>
    <w:rsid w:val="00EF11AF"/>
    <w:rsid w:val="00EF5187"/>
    <w:rsid w:val="00EF563F"/>
    <w:rsid w:val="00EF5D47"/>
    <w:rsid w:val="00EF7320"/>
    <w:rsid w:val="00F00141"/>
    <w:rsid w:val="00F02BE9"/>
    <w:rsid w:val="00F04452"/>
    <w:rsid w:val="00F05B22"/>
    <w:rsid w:val="00F10C31"/>
    <w:rsid w:val="00F10C8E"/>
    <w:rsid w:val="00F1526C"/>
    <w:rsid w:val="00F15466"/>
    <w:rsid w:val="00F16875"/>
    <w:rsid w:val="00F1730F"/>
    <w:rsid w:val="00F24B09"/>
    <w:rsid w:val="00F24B10"/>
    <w:rsid w:val="00F2702B"/>
    <w:rsid w:val="00F279DA"/>
    <w:rsid w:val="00F325DC"/>
    <w:rsid w:val="00F32733"/>
    <w:rsid w:val="00F33753"/>
    <w:rsid w:val="00F33E18"/>
    <w:rsid w:val="00F34831"/>
    <w:rsid w:val="00F369E5"/>
    <w:rsid w:val="00F37907"/>
    <w:rsid w:val="00F40377"/>
    <w:rsid w:val="00F41632"/>
    <w:rsid w:val="00F429BA"/>
    <w:rsid w:val="00F43324"/>
    <w:rsid w:val="00F43E78"/>
    <w:rsid w:val="00F448C2"/>
    <w:rsid w:val="00F469F8"/>
    <w:rsid w:val="00F514A0"/>
    <w:rsid w:val="00F531B0"/>
    <w:rsid w:val="00F56471"/>
    <w:rsid w:val="00F602BA"/>
    <w:rsid w:val="00F633AC"/>
    <w:rsid w:val="00F6410A"/>
    <w:rsid w:val="00F64E8E"/>
    <w:rsid w:val="00F64FF7"/>
    <w:rsid w:val="00F656FE"/>
    <w:rsid w:val="00F66233"/>
    <w:rsid w:val="00F67B72"/>
    <w:rsid w:val="00F67D20"/>
    <w:rsid w:val="00F71C8E"/>
    <w:rsid w:val="00F7223D"/>
    <w:rsid w:val="00F8070B"/>
    <w:rsid w:val="00F81059"/>
    <w:rsid w:val="00F814B9"/>
    <w:rsid w:val="00F82E63"/>
    <w:rsid w:val="00F87528"/>
    <w:rsid w:val="00F9431E"/>
    <w:rsid w:val="00F9518F"/>
    <w:rsid w:val="00FA148E"/>
    <w:rsid w:val="00FA249A"/>
    <w:rsid w:val="00FA35EC"/>
    <w:rsid w:val="00FA4607"/>
    <w:rsid w:val="00FA640C"/>
    <w:rsid w:val="00FA64F0"/>
    <w:rsid w:val="00FA7C03"/>
    <w:rsid w:val="00FB09DB"/>
    <w:rsid w:val="00FB197D"/>
    <w:rsid w:val="00FB3DE7"/>
    <w:rsid w:val="00FB6278"/>
    <w:rsid w:val="00FB67A6"/>
    <w:rsid w:val="00FB6D27"/>
    <w:rsid w:val="00FC045D"/>
    <w:rsid w:val="00FC1FEA"/>
    <w:rsid w:val="00FC4284"/>
    <w:rsid w:val="00FC6722"/>
    <w:rsid w:val="00FD020F"/>
    <w:rsid w:val="00FD06AE"/>
    <w:rsid w:val="00FD215B"/>
    <w:rsid w:val="00FD2CBA"/>
    <w:rsid w:val="00FD41D7"/>
    <w:rsid w:val="00FD62A3"/>
    <w:rsid w:val="00FE0319"/>
    <w:rsid w:val="00FE2F2C"/>
    <w:rsid w:val="00FE32CF"/>
    <w:rsid w:val="00FE4C1C"/>
    <w:rsid w:val="00FE4E5C"/>
    <w:rsid w:val="00FE5EC3"/>
    <w:rsid w:val="00FF0BA7"/>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844440-73FE-4E62-AE9B-3CFE7576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E68"/>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unhideWhenUsed/>
    <w:rsid w:val="00C46E68"/>
    <w:pPr>
      <w:spacing w:after="60" w:line="276" w:lineRule="auto"/>
    </w:pPr>
    <w:rPr>
      <w:sz w:val="16"/>
      <w:szCs w:val="20"/>
      <w:lang w:val="ro-RO"/>
    </w:rPr>
  </w:style>
  <w:style w:type="character" w:customStyle="1" w:styleId="FootnoteTextChar">
    <w:name w:val="Footnote Text Char"/>
    <w:basedOn w:val="DefaultParagraphFont"/>
    <w:link w:val="FootnoteText"/>
    <w:uiPriority w:val="99"/>
    <w:rsid w:val="00C46E68"/>
    <w:rPr>
      <w:rFonts w:ascii="Trebuchet MS" w:hAnsi="Trebuchet MS"/>
      <w:sz w:val="16"/>
      <w:lang w:val="ro-RO"/>
    </w:rPr>
  </w:style>
  <w:style w:type="character" w:styleId="FootnoteReference">
    <w:name w:val="footnote reference"/>
    <w:basedOn w:val="DefaultParagraphFont"/>
    <w:uiPriority w:val="99"/>
    <w:semiHidden/>
    <w:unhideWhenUsed/>
    <w:rsid w:val="007C03BB"/>
    <w:rPr>
      <w:sz w:val="22"/>
      <w:vertAlign w:val="superscript"/>
    </w:rPr>
  </w:style>
  <w:style w:type="paragraph" w:styleId="EndnoteText">
    <w:name w:val="endnote text"/>
    <w:basedOn w:val="Normal"/>
    <w:link w:val="EndnoteTextChar"/>
    <w:uiPriority w:val="99"/>
    <w:semiHidden/>
    <w:unhideWhenUsed/>
    <w:rsid w:val="0086686E"/>
    <w:rPr>
      <w:sz w:val="20"/>
      <w:szCs w:val="20"/>
    </w:rPr>
  </w:style>
  <w:style w:type="character" w:customStyle="1" w:styleId="EndnoteTextChar">
    <w:name w:val="Endnote Text Char"/>
    <w:basedOn w:val="DefaultParagraphFont"/>
    <w:link w:val="EndnoteText"/>
    <w:uiPriority w:val="99"/>
    <w:semiHidden/>
    <w:rsid w:val="0086686E"/>
    <w:rPr>
      <w:rFonts w:ascii="Trebuchet MS" w:hAnsi="Trebuchet MS"/>
    </w:rPr>
  </w:style>
  <w:style w:type="character" w:styleId="EndnoteReference">
    <w:name w:val="endnote reference"/>
    <w:basedOn w:val="DefaultParagraphFont"/>
    <w:uiPriority w:val="99"/>
    <w:semiHidden/>
    <w:unhideWhenUsed/>
    <w:rsid w:val="0086686E"/>
    <w:rPr>
      <w:vertAlign w:val="superscript"/>
    </w:rPr>
  </w:style>
  <w:style w:type="paragraph" w:styleId="ListParagraph">
    <w:name w:val="List Paragraph"/>
    <w:aliases w:val="Normal bullet 2,List Paragraph1,List Paragraph3,Akapit z listą BS,Outlines a.b.c.,List_Paragraph,Multilevel para_II,Akapit z lista BS,List Paragraph (numbered (a)),Numbered list,List Paragraph 1,Forth level,Bullet1,References,body 2,Bull"/>
    <w:basedOn w:val="Normal"/>
    <w:link w:val="ListParagraphChar"/>
    <w:uiPriority w:val="34"/>
    <w:qFormat/>
    <w:rsid w:val="00AF35B4"/>
    <w:pPr>
      <w:ind w:left="720"/>
      <w:contextualSpacing/>
    </w:pPr>
  </w:style>
  <w:style w:type="paragraph" w:styleId="TOCHeading">
    <w:name w:val="TOC Heading"/>
    <w:basedOn w:val="Heading1"/>
    <w:next w:val="Normal"/>
    <w:uiPriority w:val="39"/>
    <w:unhideWhenUsed/>
    <w:qFormat/>
    <w:rsid w:val="001F5EF3"/>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1F5EF3"/>
    <w:pPr>
      <w:spacing w:after="100" w:line="276" w:lineRule="auto"/>
      <w:ind w:left="220"/>
      <w:jc w:val="left"/>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C470B9"/>
    <w:pPr>
      <w:tabs>
        <w:tab w:val="right" w:leader="dot" w:pos="9055"/>
      </w:tabs>
      <w:spacing w:after="100" w:line="276" w:lineRule="auto"/>
      <w:jc w:val="left"/>
    </w:pPr>
    <w:rPr>
      <w:rFonts w:eastAsiaTheme="minorEastAsia" w:cstheme="minorBidi"/>
      <w:noProof/>
      <w:lang w:val="ro-RO" w:eastAsia="ja-JP"/>
    </w:rPr>
  </w:style>
  <w:style w:type="paragraph" w:styleId="TOC3">
    <w:name w:val="toc 3"/>
    <w:basedOn w:val="Normal"/>
    <w:next w:val="Normal"/>
    <w:autoRedefine/>
    <w:uiPriority w:val="39"/>
    <w:unhideWhenUsed/>
    <w:qFormat/>
    <w:rsid w:val="001F5EF3"/>
    <w:pPr>
      <w:spacing w:after="100" w:line="276" w:lineRule="auto"/>
      <w:ind w:left="440"/>
      <w:jc w:val="left"/>
    </w:pPr>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A07BCF"/>
    <w:rPr>
      <w:sz w:val="16"/>
      <w:szCs w:val="16"/>
    </w:rPr>
  </w:style>
  <w:style w:type="paragraph" w:styleId="CommentText">
    <w:name w:val="annotation text"/>
    <w:basedOn w:val="Normal"/>
    <w:link w:val="CommentTextChar"/>
    <w:uiPriority w:val="99"/>
    <w:semiHidden/>
    <w:unhideWhenUsed/>
    <w:rsid w:val="00A07BCF"/>
    <w:rPr>
      <w:sz w:val="20"/>
      <w:szCs w:val="20"/>
    </w:rPr>
  </w:style>
  <w:style w:type="character" w:customStyle="1" w:styleId="CommentTextChar">
    <w:name w:val="Comment Text Char"/>
    <w:basedOn w:val="DefaultParagraphFont"/>
    <w:link w:val="CommentText"/>
    <w:uiPriority w:val="99"/>
    <w:semiHidden/>
    <w:rsid w:val="00A07BCF"/>
    <w:rPr>
      <w:rFonts w:ascii="Trebuchet MS" w:hAnsi="Trebuchet MS"/>
    </w:rPr>
  </w:style>
  <w:style w:type="paragraph" w:styleId="CommentSubject">
    <w:name w:val="annotation subject"/>
    <w:basedOn w:val="CommentText"/>
    <w:next w:val="CommentText"/>
    <w:link w:val="CommentSubjectChar"/>
    <w:uiPriority w:val="99"/>
    <w:semiHidden/>
    <w:unhideWhenUsed/>
    <w:rsid w:val="00A07BCF"/>
    <w:rPr>
      <w:b/>
      <w:bCs/>
    </w:rPr>
  </w:style>
  <w:style w:type="character" w:customStyle="1" w:styleId="CommentSubjectChar">
    <w:name w:val="Comment Subject Char"/>
    <w:basedOn w:val="CommentTextChar"/>
    <w:link w:val="CommentSubject"/>
    <w:uiPriority w:val="99"/>
    <w:semiHidden/>
    <w:rsid w:val="00A07BCF"/>
    <w:rPr>
      <w:rFonts w:ascii="Trebuchet MS" w:hAnsi="Trebuchet MS"/>
      <w:b/>
      <w:bCs/>
    </w:rPr>
  </w:style>
  <w:style w:type="character" w:styleId="FollowedHyperlink">
    <w:name w:val="FollowedHyperlink"/>
    <w:basedOn w:val="DefaultParagraphFont"/>
    <w:uiPriority w:val="99"/>
    <w:semiHidden/>
    <w:unhideWhenUsed/>
    <w:rsid w:val="00F67B72"/>
    <w:rPr>
      <w:color w:val="800080" w:themeColor="followedHyperlink"/>
      <w:u w:val="single"/>
    </w:rPr>
  </w:style>
  <w:style w:type="character" w:customStyle="1" w:styleId="UnresolvedMention1">
    <w:name w:val="Unresolved Mention1"/>
    <w:basedOn w:val="DefaultParagraphFont"/>
    <w:uiPriority w:val="99"/>
    <w:semiHidden/>
    <w:unhideWhenUsed/>
    <w:rsid w:val="00A34C87"/>
    <w:rPr>
      <w:color w:val="808080"/>
      <w:shd w:val="clear" w:color="auto" w:fill="E6E6E6"/>
    </w:rPr>
  </w:style>
  <w:style w:type="table" w:customStyle="1" w:styleId="TableGrid1">
    <w:name w:val="Table Grid1"/>
    <w:basedOn w:val="TableNormal"/>
    <w:next w:val="TableGrid"/>
    <w:uiPriority w:val="59"/>
    <w:rsid w:val="00CB03C6"/>
    <w:pPr>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EA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DefaultParagraphFont"/>
    <w:rsid w:val="00D03DC6"/>
    <w:rPr>
      <w:rFonts w:ascii="Arial" w:hAnsi="Arial" w:cs="Arial" w:hint="default"/>
      <w:color w:val="000000"/>
      <w:sz w:val="26"/>
      <w:szCs w:val="26"/>
    </w:rPr>
  </w:style>
  <w:style w:type="character" w:customStyle="1" w:styleId="l5tlu1">
    <w:name w:val="l5tlu1"/>
    <w:basedOn w:val="DefaultParagraphFont"/>
    <w:rsid w:val="00D03DC6"/>
    <w:rPr>
      <w:b/>
      <w:bCs/>
      <w:color w:val="000000"/>
      <w:sz w:val="32"/>
      <w:szCs w:val="32"/>
    </w:rPr>
  </w:style>
  <w:style w:type="paragraph" w:customStyle="1" w:styleId="1CaracterCharCharCaracterCharCharCaracterCharCharCaracter">
    <w:name w:val="1 Caracter Char Char Caracter Char Char Caracter Char Char Caracter"/>
    <w:basedOn w:val="Normal"/>
    <w:rsid w:val="00DF0E5B"/>
    <w:pPr>
      <w:jc w:val="left"/>
    </w:pPr>
    <w:rPr>
      <w:rFonts w:ascii="Times New Roman" w:eastAsia="Times New Roman" w:hAnsi="Times New Roman"/>
      <w:sz w:val="24"/>
      <w:szCs w:val="24"/>
      <w:lang w:val="pl-PL" w:eastAsia="pl-PL"/>
    </w:rPr>
  </w:style>
  <w:style w:type="paragraph" w:styleId="PlainText">
    <w:name w:val="Plain Text"/>
    <w:basedOn w:val="Normal"/>
    <w:link w:val="PlainTextChar"/>
    <w:uiPriority w:val="99"/>
    <w:unhideWhenUsed/>
    <w:rsid w:val="00055BA3"/>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5BA3"/>
    <w:rPr>
      <w:rFonts w:ascii="Calibri" w:eastAsiaTheme="minorHAnsi" w:hAnsi="Calibri" w:cstheme="minorBidi"/>
      <w:sz w:val="22"/>
      <w:szCs w:val="21"/>
    </w:rPr>
  </w:style>
  <w:style w:type="paragraph" w:customStyle="1" w:styleId="CaracterCaracter1CharChar1">
    <w:name w:val="Caracter Caracter1 Char Char1"/>
    <w:basedOn w:val="Normal"/>
    <w:rsid w:val="00C80386"/>
    <w:pPr>
      <w:jc w:val="left"/>
    </w:pPr>
    <w:rPr>
      <w:rFonts w:ascii="Times New Roman" w:hAnsi="Times New Roman"/>
      <w:sz w:val="24"/>
      <w:szCs w:val="24"/>
      <w:lang w:val="pl-PL" w:eastAsia="pl-PL"/>
    </w:rPr>
  </w:style>
  <w:style w:type="character" w:customStyle="1" w:styleId="CaracterCaracterChar">
    <w:name w:val="Caracter Caracter Char"/>
    <w:link w:val="CaracterCaracter"/>
    <w:locked/>
    <w:rsid w:val="00C80386"/>
    <w:rPr>
      <w:sz w:val="24"/>
      <w:szCs w:val="24"/>
      <w:lang w:val="pl-PL" w:eastAsia="pl-PL"/>
    </w:rPr>
  </w:style>
  <w:style w:type="paragraph" w:customStyle="1" w:styleId="CaracterCaracter">
    <w:name w:val="Caracter Caracter"/>
    <w:basedOn w:val="Normal"/>
    <w:link w:val="CaracterCaracterChar"/>
    <w:rsid w:val="00C80386"/>
    <w:pPr>
      <w:jc w:val="left"/>
    </w:pPr>
    <w:rPr>
      <w:rFonts w:ascii="Cambria" w:hAnsi="Cambria"/>
      <w:sz w:val="24"/>
      <w:szCs w:val="24"/>
      <w:lang w:val="pl-PL" w:eastAsia="pl-PL"/>
    </w:rPr>
  </w:style>
  <w:style w:type="character" w:customStyle="1" w:styleId="l5red5">
    <w:name w:val="l5_red5"/>
    <w:basedOn w:val="DefaultParagraphFont"/>
    <w:rsid w:val="0030749E"/>
    <w:rPr>
      <w:b w:val="0"/>
      <w:bCs w:val="0"/>
      <w:i w:val="0"/>
      <w:iCs w:val="0"/>
      <w:strike w:val="0"/>
      <w:dstrike w:val="0"/>
      <w:color w:val="FF0000"/>
      <w:u w:val="none"/>
      <w:effect w:val="none"/>
      <w:shd w:val="clear" w:color="auto" w:fill="auto"/>
    </w:rPr>
  </w:style>
  <w:style w:type="character" w:customStyle="1" w:styleId="l5def2">
    <w:name w:val="l5def2"/>
    <w:basedOn w:val="DefaultParagraphFont"/>
    <w:rsid w:val="007828FB"/>
    <w:rPr>
      <w:rFonts w:ascii="Arial" w:hAnsi="Arial" w:cs="Arial" w:hint="default"/>
      <w:color w:val="000000"/>
      <w:sz w:val="26"/>
      <w:szCs w:val="26"/>
    </w:rPr>
  </w:style>
  <w:style w:type="character" w:customStyle="1" w:styleId="l5def3">
    <w:name w:val="l5def3"/>
    <w:basedOn w:val="DefaultParagraphFont"/>
    <w:rsid w:val="007828FB"/>
    <w:rPr>
      <w:rFonts w:ascii="Arial" w:hAnsi="Arial" w:cs="Arial" w:hint="default"/>
      <w:color w:val="000000"/>
      <w:sz w:val="26"/>
      <w:szCs w:val="26"/>
    </w:rPr>
  </w:style>
  <w:style w:type="character" w:customStyle="1" w:styleId="l5def4">
    <w:name w:val="l5def4"/>
    <w:basedOn w:val="DefaultParagraphFont"/>
    <w:rsid w:val="007828FB"/>
    <w:rPr>
      <w:rFonts w:ascii="Arial" w:hAnsi="Arial" w:cs="Arial" w:hint="default"/>
      <w:color w:val="000000"/>
      <w:sz w:val="26"/>
      <w:szCs w:val="26"/>
    </w:rPr>
  </w:style>
  <w:style w:type="character" w:customStyle="1" w:styleId="l5def5">
    <w:name w:val="l5def5"/>
    <w:basedOn w:val="DefaultParagraphFont"/>
    <w:rsid w:val="007828FB"/>
    <w:rPr>
      <w:rFonts w:ascii="Arial" w:hAnsi="Arial" w:cs="Arial" w:hint="default"/>
      <w:color w:val="000000"/>
      <w:sz w:val="26"/>
      <w:szCs w:val="26"/>
    </w:rPr>
  </w:style>
  <w:style w:type="character" w:customStyle="1" w:styleId="l5def6">
    <w:name w:val="l5def6"/>
    <w:basedOn w:val="DefaultParagraphFont"/>
    <w:rsid w:val="007828FB"/>
    <w:rPr>
      <w:rFonts w:ascii="Arial" w:hAnsi="Arial" w:cs="Arial" w:hint="default"/>
      <w:color w:val="000000"/>
      <w:sz w:val="26"/>
      <w:szCs w:val="26"/>
    </w:rPr>
  </w:style>
  <w:style w:type="character" w:customStyle="1" w:styleId="ListParagraphChar">
    <w:name w:val="List Paragraph Char"/>
    <w:aliases w:val="Normal bullet 2 Char,List Paragraph1 Char,List Paragraph3 Char,Akapit z listą BS Char,Outlines a.b.c. Char,List_Paragraph Char,Multilevel para_II Char,Akapit z lista BS Char,List Paragraph (numbered (a)) Char,Numbered list Char"/>
    <w:link w:val="ListParagraph"/>
    <w:uiPriority w:val="34"/>
    <w:locked/>
    <w:rsid w:val="008D7E05"/>
    <w:rPr>
      <w:rFonts w:ascii="Trebuchet MS" w:hAnsi="Trebuchet MS"/>
      <w:sz w:val="22"/>
      <w:szCs w:val="22"/>
    </w:rPr>
  </w:style>
  <w:style w:type="paragraph" w:customStyle="1" w:styleId="xmsonormal">
    <w:name w:val="x_msonormal"/>
    <w:basedOn w:val="Normal"/>
    <w:rsid w:val="001F23A2"/>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3751">
      <w:bodyDiv w:val="1"/>
      <w:marLeft w:val="0"/>
      <w:marRight w:val="0"/>
      <w:marTop w:val="0"/>
      <w:marBottom w:val="0"/>
      <w:divBdr>
        <w:top w:val="none" w:sz="0" w:space="0" w:color="auto"/>
        <w:left w:val="none" w:sz="0" w:space="0" w:color="auto"/>
        <w:bottom w:val="none" w:sz="0" w:space="0" w:color="auto"/>
        <w:right w:val="none" w:sz="0" w:space="0" w:color="auto"/>
      </w:divBdr>
    </w:div>
    <w:div w:id="155729329">
      <w:bodyDiv w:val="1"/>
      <w:marLeft w:val="0"/>
      <w:marRight w:val="0"/>
      <w:marTop w:val="0"/>
      <w:marBottom w:val="0"/>
      <w:divBdr>
        <w:top w:val="none" w:sz="0" w:space="0" w:color="auto"/>
        <w:left w:val="none" w:sz="0" w:space="0" w:color="auto"/>
        <w:bottom w:val="none" w:sz="0" w:space="0" w:color="auto"/>
        <w:right w:val="none" w:sz="0" w:space="0" w:color="auto"/>
      </w:divBdr>
      <w:divsChild>
        <w:div w:id="420882271">
          <w:marLeft w:val="0"/>
          <w:marRight w:val="0"/>
          <w:marTop w:val="0"/>
          <w:marBottom w:val="0"/>
          <w:divBdr>
            <w:top w:val="none" w:sz="0" w:space="0" w:color="auto"/>
            <w:left w:val="none" w:sz="0" w:space="0" w:color="auto"/>
            <w:bottom w:val="none" w:sz="0" w:space="0" w:color="auto"/>
            <w:right w:val="none" w:sz="0" w:space="0" w:color="auto"/>
          </w:divBdr>
        </w:div>
      </w:divsChild>
    </w:div>
    <w:div w:id="537938787">
      <w:bodyDiv w:val="1"/>
      <w:marLeft w:val="0"/>
      <w:marRight w:val="0"/>
      <w:marTop w:val="0"/>
      <w:marBottom w:val="0"/>
      <w:divBdr>
        <w:top w:val="none" w:sz="0" w:space="0" w:color="auto"/>
        <w:left w:val="none" w:sz="0" w:space="0" w:color="auto"/>
        <w:bottom w:val="none" w:sz="0" w:space="0" w:color="auto"/>
        <w:right w:val="none" w:sz="0" w:space="0" w:color="auto"/>
      </w:divBdr>
    </w:div>
    <w:div w:id="540823113">
      <w:bodyDiv w:val="1"/>
      <w:marLeft w:val="0"/>
      <w:marRight w:val="0"/>
      <w:marTop w:val="0"/>
      <w:marBottom w:val="0"/>
      <w:divBdr>
        <w:top w:val="none" w:sz="0" w:space="0" w:color="auto"/>
        <w:left w:val="none" w:sz="0" w:space="0" w:color="auto"/>
        <w:bottom w:val="none" w:sz="0" w:space="0" w:color="auto"/>
        <w:right w:val="none" w:sz="0" w:space="0" w:color="auto"/>
      </w:divBdr>
      <w:divsChild>
        <w:div w:id="1308321263">
          <w:marLeft w:val="0"/>
          <w:marRight w:val="0"/>
          <w:marTop w:val="0"/>
          <w:marBottom w:val="0"/>
          <w:divBdr>
            <w:top w:val="none" w:sz="0" w:space="0" w:color="auto"/>
            <w:left w:val="none" w:sz="0" w:space="0" w:color="auto"/>
            <w:bottom w:val="none" w:sz="0" w:space="0" w:color="auto"/>
            <w:right w:val="none" w:sz="0" w:space="0" w:color="auto"/>
          </w:divBdr>
          <w:divsChild>
            <w:div w:id="1395857248">
              <w:marLeft w:val="0"/>
              <w:marRight w:val="0"/>
              <w:marTop w:val="0"/>
              <w:marBottom w:val="0"/>
              <w:divBdr>
                <w:top w:val="none" w:sz="0" w:space="0" w:color="auto"/>
                <w:left w:val="none" w:sz="0" w:space="0" w:color="auto"/>
                <w:bottom w:val="none" w:sz="0" w:space="0" w:color="auto"/>
                <w:right w:val="none" w:sz="0" w:space="0" w:color="auto"/>
              </w:divBdr>
              <w:divsChild>
                <w:div w:id="1128083958">
                  <w:marLeft w:val="0"/>
                  <w:marRight w:val="0"/>
                  <w:marTop w:val="0"/>
                  <w:marBottom w:val="0"/>
                  <w:divBdr>
                    <w:top w:val="none" w:sz="0" w:space="0" w:color="auto"/>
                    <w:left w:val="none" w:sz="0" w:space="0" w:color="auto"/>
                    <w:bottom w:val="none" w:sz="0" w:space="0" w:color="auto"/>
                    <w:right w:val="none" w:sz="0" w:space="0" w:color="auto"/>
                  </w:divBdr>
                </w:div>
              </w:divsChild>
            </w:div>
            <w:div w:id="1352105465">
              <w:marLeft w:val="0"/>
              <w:marRight w:val="0"/>
              <w:marTop w:val="0"/>
              <w:marBottom w:val="0"/>
              <w:divBdr>
                <w:top w:val="none" w:sz="0" w:space="0" w:color="auto"/>
                <w:left w:val="none" w:sz="0" w:space="0" w:color="auto"/>
                <w:bottom w:val="none" w:sz="0" w:space="0" w:color="auto"/>
                <w:right w:val="none" w:sz="0" w:space="0" w:color="auto"/>
              </w:divBdr>
              <w:divsChild>
                <w:div w:id="1157916434">
                  <w:marLeft w:val="0"/>
                  <w:marRight w:val="0"/>
                  <w:marTop w:val="0"/>
                  <w:marBottom w:val="0"/>
                  <w:divBdr>
                    <w:top w:val="none" w:sz="0" w:space="0" w:color="auto"/>
                    <w:left w:val="none" w:sz="0" w:space="0" w:color="auto"/>
                    <w:bottom w:val="none" w:sz="0" w:space="0" w:color="auto"/>
                    <w:right w:val="none" w:sz="0" w:space="0" w:color="auto"/>
                  </w:divBdr>
                </w:div>
              </w:divsChild>
            </w:div>
            <w:div w:id="1686440342">
              <w:marLeft w:val="0"/>
              <w:marRight w:val="0"/>
              <w:marTop w:val="0"/>
              <w:marBottom w:val="0"/>
              <w:divBdr>
                <w:top w:val="none" w:sz="0" w:space="0" w:color="auto"/>
                <w:left w:val="none" w:sz="0" w:space="0" w:color="auto"/>
                <w:bottom w:val="none" w:sz="0" w:space="0" w:color="auto"/>
                <w:right w:val="none" w:sz="0" w:space="0" w:color="auto"/>
              </w:divBdr>
              <w:divsChild>
                <w:div w:id="1881163800">
                  <w:marLeft w:val="0"/>
                  <w:marRight w:val="0"/>
                  <w:marTop w:val="0"/>
                  <w:marBottom w:val="0"/>
                  <w:divBdr>
                    <w:top w:val="none" w:sz="0" w:space="0" w:color="auto"/>
                    <w:left w:val="none" w:sz="0" w:space="0" w:color="auto"/>
                    <w:bottom w:val="none" w:sz="0" w:space="0" w:color="auto"/>
                    <w:right w:val="none" w:sz="0" w:space="0" w:color="auto"/>
                  </w:divBdr>
                </w:div>
              </w:divsChild>
            </w:div>
            <w:div w:id="2132435769">
              <w:marLeft w:val="0"/>
              <w:marRight w:val="0"/>
              <w:marTop w:val="0"/>
              <w:marBottom w:val="0"/>
              <w:divBdr>
                <w:top w:val="none" w:sz="0" w:space="0" w:color="auto"/>
                <w:left w:val="none" w:sz="0" w:space="0" w:color="auto"/>
                <w:bottom w:val="none" w:sz="0" w:space="0" w:color="auto"/>
                <w:right w:val="none" w:sz="0" w:space="0" w:color="auto"/>
              </w:divBdr>
              <w:divsChild>
                <w:div w:id="1129010766">
                  <w:marLeft w:val="0"/>
                  <w:marRight w:val="0"/>
                  <w:marTop w:val="0"/>
                  <w:marBottom w:val="0"/>
                  <w:divBdr>
                    <w:top w:val="none" w:sz="0" w:space="0" w:color="auto"/>
                    <w:left w:val="none" w:sz="0" w:space="0" w:color="auto"/>
                    <w:bottom w:val="none" w:sz="0" w:space="0" w:color="auto"/>
                    <w:right w:val="none" w:sz="0" w:space="0" w:color="auto"/>
                  </w:divBdr>
                </w:div>
              </w:divsChild>
            </w:div>
            <w:div w:id="443614903">
              <w:marLeft w:val="0"/>
              <w:marRight w:val="0"/>
              <w:marTop w:val="0"/>
              <w:marBottom w:val="0"/>
              <w:divBdr>
                <w:top w:val="none" w:sz="0" w:space="0" w:color="auto"/>
                <w:left w:val="none" w:sz="0" w:space="0" w:color="auto"/>
                <w:bottom w:val="none" w:sz="0" w:space="0" w:color="auto"/>
                <w:right w:val="none" w:sz="0" w:space="0" w:color="auto"/>
              </w:divBdr>
              <w:divsChild>
                <w:div w:id="348289437">
                  <w:marLeft w:val="0"/>
                  <w:marRight w:val="0"/>
                  <w:marTop w:val="0"/>
                  <w:marBottom w:val="0"/>
                  <w:divBdr>
                    <w:top w:val="none" w:sz="0" w:space="0" w:color="auto"/>
                    <w:left w:val="none" w:sz="0" w:space="0" w:color="auto"/>
                    <w:bottom w:val="none" w:sz="0" w:space="0" w:color="auto"/>
                    <w:right w:val="none" w:sz="0" w:space="0" w:color="auto"/>
                  </w:divBdr>
                </w:div>
              </w:divsChild>
            </w:div>
            <w:div w:id="1598098855">
              <w:marLeft w:val="0"/>
              <w:marRight w:val="0"/>
              <w:marTop w:val="0"/>
              <w:marBottom w:val="0"/>
              <w:divBdr>
                <w:top w:val="none" w:sz="0" w:space="0" w:color="auto"/>
                <w:left w:val="none" w:sz="0" w:space="0" w:color="auto"/>
                <w:bottom w:val="none" w:sz="0" w:space="0" w:color="auto"/>
                <w:right w:val="none" w:sz="0" w:space="0" w:color="auto"/>
              </w:divBdr>
              <w:divsChild>
                <w:div w:id="419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701">
      <w:bodyDiv w:val="1"/>
      <w:marLeft w:val="0"/>
      <w:marRight w:val="0"/>
      <w:marTop w:val="0"/>
      <w:marBottom w:val="0"/>
      <w:divBdr>
        <w:top w:val="none" w:sz="0" w:space="0" w:color="auto"/>
        <w:left w:val="none" w:sz="0" w:space="0" w:color="auto"/>
        <w:bottom w:val="none" w:sz="0" w:space="0" w:color="auto"/>
        <w:right w:val="none" w:sz="0" w:space="0" w:color="auto"/>
      </w:divBdr>
    </w:div>
    <w:div w:id="628783226">
      <w:bodyDiv w:val="1"/>
      <w:marLeft w:val="0"/>
      <w:marRight w:val="0"/>
      <w:marTop w:val="0"/>
      <w:marBottom w:val="0"/>
      <w:divBdr>
        <w:top w:val="none" w:sz="0" w:space="0" w:color="auto"/>
        <w:left w:val="none" w:sz="0" w:space="0" w:color="auto"/>
        <w:bottom w:val="none" w:sz="0" w:space="0" w:color="auto"/>
        <w:right w:val="none" w:sz="0" w:space="0" w:color="auto"/>
      </w:divBdr>
    </w:div>
    <w:div w:id="689841826">
      <w:bodyDiv w:val="1"/>
      <w:marLeft w:val="0"/>
      <w:marRight w:val="0"/>
      <w:marTop w:val="0"/>
      <w:marBottom w:val="0"/>
      <w:divBdr>
        <w:top w:val="none" w:sz="0" w:space="0" w:color="auto"/>
        <w:left w:val="none" w:sz="0" w:space="0" w:color="auto"/>
        <w:bottom w:val="none" w:sz="0" w:space="0" w:color="auto"/>
        <w:right w:val="none" w:sz="0" w:space="0" w:color="auto"/>
      </w:divBdr>
      <w:divsChild>
        <w:div w:id="1904827022">
          <w:marLeft w:val="0"/>
          <w:marRight w:val="0"/>
          <w:marTop w:val="0"/>
          <w:marBottom w:val="0"/>
          <w:divBdr>
            <w:top w:val="none" w:sz="0" w:space="0" w:color="auto"/>
            <w:left w:val="none" w:sz="0" w:space="0" w:color="auto"/>
            <w:bottom w:val="none" w:sz="0" w:space="0" w:color="auto"/>
            <w:right w:val="none" w:sz="0" w:space="0" w:color="auto"/>
          </w:divBdr>
        </w:div>
      </w:divsChild>
    </w:div>
    <w:div w:id="715080440">
      <w:bodyDiv w:val="1"/>
      <w:marLeft w:val="0"/>
      <w:marRight w:val="0"/>
      <w:marTop w:val="0"/>
      <w:marBottom w:val="0"/>
      <w:divBdr>
        <w:top w:val="none" w:sz="0" w:space="0" w:color="auto"/>
        <w:left w:val="none" w:sz="0" w:space="0" w:color="auto"/>
        <w:bottom w:val="none" w:sz="0" w:space="0" w:color="auto"/>
        <w:right w:val="none" w:sz="0" w:space="0" w:color="auto"/>
      </w:divBdr>
      <w:divsChild>
        <w:div w:id="1691445489">
          <w:marLeft w:val="0"/>
          <w:marRight w:val="0"/>
          <w:marTop w:val="0"/>
          <w:marBottom w:val="0"/>
          <w:divBdr>
            <w:top w:val="none" w:sz="0" w:space="0" w:color="auto"/>
            <w:left w:val="none" w:sz="0" w:space="0" w:color="auto"/>
            <w:bottom w:val="none" w:sz="0" w:space="0" w:color="auto"/>
            <w:right w:val="none" w:sz="0" w:space="0" w:color="auto"/>
          </w:divBdr>
        </w:div>
      </w:divsChild>
    </w:div>
    <w:div w:id="745957732">
      <w:bodyDiv w:val="1"/>
      <w:marLeft w:val="0"/>
      <w:marRight w:val="0"/>
      <w:marTop w:val="0"/>
      <w:marBottom w:val="0"/>
      <w:divBdr>
        <w:top w:val="none" w:sz="0" w:space="0" w:color="auto"/>
        <w:left w:val="none" w:sz="0" w:space="0" w:color="auto"/>
        <w:bottom w:val="none" w:sz="0" w:space="0" w:color="auto"/>
        <w:right w:val="none" w:sz="0" w:space="0" w:color="auto"/>
      </w:divBdr>
    </w:div>
    <w:div w:id="823855012">
      <w:bodyDiv w:val="1"/>
      <w:marLeft w:val="0"/>
      <w:marRight w:val="0"/>
      <w:marTop w:val="0"/>
      <w:marBottom w:val="0"/>
      <w:divBdr>
        <w:top w:val="none" w:sz="0" w:space="0" w:color="auto"/>
        <w:left w:val="none" w:sz="0" w:space="0" w:color="auto"/>
        <w:bottom w:val="none" w:sz="0" w:space="0" w:color="auto"/>
        <w:right w:val="none" w:sz="0" w:space="0" w:color="auto"/>
      </w:divBdr>
      <w:divsChild>
        <w:div w:id="550464419">
          <w:marLeft w:val="0"/>
          <w:marRight w:val="0"/>
          <w:marTop w:val="0"/>
          <w:marBottom w:val="0"/>
          <w:divBdr>
            <w:top w:val="none" w:sz="0" w:space="0" w:color="auto"/>
            <w:left w:val="none" w:sz="0" w:space="0" w:color="auto"/>
            <w:bottom w:val="none" w:sz="0" w:space="0" w:color="auto"/>
            <w:right w:val="none" w:sz="0" w:space="0" w:color="auto"/>
          </w:divBdr>
        </w:div>
      </w:divsChild>
    </w:div>
    <w:div w:id="824586504">
      <w:bodyDiv w:val="1"/>
      <w:marLeft w:val="0"/>
      <w:marRight w:val="0"/>
      <w:marTop w:val="0"/>
      <w:marBottom w:val="0"/>
      <w:divBdr>
        <w:top w:val="none" w:sz="0" w:space="0" w:color="auto"/>
        <w:left w:val="none" w:sz="0" w:space="0" w:color="auto"/>
        <w:bottom w:val="none" w:sz="0" w:space="0" w:color="auto"/>
        <w:right w:val="none" w:sz="0" w:space="0" w:color="auto"/>
      </w:divBdr>
      <w:divsChild>
        <w:div w:id="1609003922">
          <w:marLeft w:val="0"/>
          <w:marRight w:val="0"/>
          <w:marTop w:val="0"/>
          <w:marBottom w:val="0"/>
          <w:divBdr>
            <w:top w:val="none" w:sz="0" w:space="0" w:color="auto"/>
            <w:left w:val="none" w:sz="0" w:space="0" w:color="auto"/>
            <w:bottom w:val="none" w:sz="0" w:space="0" w:color="auto"/>
            <w:right w:val="none" w:sz="0" w:space="0" w:color="auto"/>
          </w:divBdr>
        </w:div>
      </w:divsChild>
    </w:div>
    <w:div w:id="842354650">
      <w:bodyDiv w:val="1"/>
      <w:marLeft w:val="0"/>
      <w:marRight w:val="0"/>
      <w:marTop w:val="0"/>
      <w:marBottom w:val="0"/>
      <w:divBdr>
        <w:top w:val="none" w:sz="0" w:space="0" w:color="auto"/>
        <w:left w:val="none" w:sz="0" w:space="0" w:color="auto"/>
        <w:bottom w:val="none" w:sz="0" w:space="0" w:color="auto"/>
        <w:right w:val="none" w:sz="0" w:space="0" w:color="auto"/>
      </w:divBdr>
    </w:div>
    <w:div w:id="1215391707">
      <w:bodyDiv w:val="1"/>
      <w:marLeft w:val="0"/>
      <w:marRight w:val="0"/>
      <w:marTop w:val="0"/>
      <w:marBottom w:val="0"/>
      <w:divBdr>
        <w:top w:val="none" w:sz="0" w:space="0" w:color="auto"/>
        <w:left w:val="none" w:sz="0" w:space="0" w:color="auto"/>
        <w:bottom w:val="none" w:sz="0" w:space="0" w:color="auto"/>
        <w:right w:val="none" w:sz="0" w:space="0" w:color="auto"/>
      </w:divBdr>
    </w:div>
    <w:div w:id="1311593282">
      <w:bodyDiv w:val="1"/>
      <w:marLeft w:val="0"/>
      <w:marRight w:val="0"/>
      <w:marTop w:val="0"/>
      <w:marBottom w:val="0"/>
      <w:divBdr>
        <w:top w:val="none" w:sz="0" w:space="0" w:color="auto"/>
        <w:left w:val="none" w:sz="0" w:space="0" w:color="auto"/>
        <w:bottom w:val="none" w:sz="0" w:space="0" w:color="auto"/>
        <w:right w:val="none" w:sz="0" w:space="0" w:color="auto"/>
      </w:divBdr>
    </w:div>
    <w:div w:id="1374310366">
      <w:bodyDiv w:val="1"/>
      <w:marLeft w:val="0"/>
      <w:marRight w:val="0"/>
      <w:marTop w:val="0"/>
      <w:marBottom w:val="0"/>
      <w:divBdr>
        <w:top w:val="none" w:sz="0" w:space="0" w:color="auto"/>
        <w:left w:val="none" w:sz="0" w:space="0" w:color="auto"/>
        <w:bottom w:val="none" w:sz="0" w:space="0" w:color="auto"/>
        <w:right w:val="none" w:sz="0" w:space="0" w:color="auto"/>
      </w:divBdr>
    </w:div>
    <w:div w:id="1436051675">
      <w:bodyDiv w:val="1"/>
      <w:marLeft w:val="0"/>
      <w:marRight w:val="0"/>
      <w:marTop w:val="0"/>
      <w:marBottom w:val="0"/>
      <w:divBdr>
        <w:top w:val="none" w:sz="0" w:space="0" w:color="auto"/>
        <w:left w:val="none" w:sz="0" w:space="0" w:color="auto"/>
        <w:bottom w:val="none" w:sz="0" w:space="0" w:color="auto"/>
        <w:right w:val="none" w:sz="0" w:space="0" w:color="auto"/>
      </w:divBdr>
      <w:divsChild>
        <w:div w:id="1777208247">
          <w:marLeft w:val="0"/>
          <w:marRight w:val="0"/>
          <w:marTop w:val="0"/>
          <w:marBottom w:val="0"/>
          <w:divBdr>
            <w:top w:val="none" w:sz="0" w:space="0" w:color="auto"/>
            <w:left w:val="none" w:sz="0" w:space="0" w:color="auto"/>
            <w:bottom w:val="none" w:sz="0" w:space="0" w:color="auto"/>
            <w:right w:val="none" w:sz="0" w:space="0" w:color="auto"/>
          </w:divBdr>
        </w:div>
      </w:divsChild>
    </w:div>
    <w:div w:id="1566841213">
      <w:bodyDiv w:val="1"/>
      <w:marLeft w:val="0"/>
      <w:marRight w:val="0"/>
      <w:marTop w:val="0"/>
      <w:marBottom w:val="0"/>
      <w:divBdr>
        <w:top w:val="none" w:sz="0" w:space="0" w:color="auto"/>
        <w:left w:val="none" w:sz="0" w:space="0" w:color="auto"/>
        <w:bottom w:val="none" w:sz="0" w:space="0" w:color="auto"/>
        <w:right w:val="none" w:sz="0" w:space="0" w:color="auto"/>
      </w:divBdr>
    </w:div>
    <w:div w:id="1675453972">
      <w:bodyDiv w:val="1"/>
      <w:marLeft w:val="0"/>
      <w:marRight w:val="0"/>
      <w:marTop w:val="0"/>
      <w:marBottom w:val="0"/>
      <w:divBdr>
        <w:top w:val="none" w:sz="0" w:space="0" w:color="auto"/>
        <w:left w:val="none" w:sz="0" w:space="0" w:color="auto"/>
        <w:bottom w:val="none" w:sz="0" w:space="0" w:color="auto"/>
        <w:right w:val="none" w:sz="0" w:space="0" w:color="auto"/>
      </w:divBdr>
    </w:div>
    <w:div w:id="1910577470">
      <w:bodyDiv w:val="1"/>
      <w:marLeft w:val="0"/>
      <w:marRight w:val="0"/>
      <w:marTop w:val="0"/>
      <w:marBottom w:val="0"/>
      <w:divBdr>
        <w:top w:val="none" w:sz="0" w:space="0" w:color="auto"/>
        <w:left w:val="none" w:sz="0" w:space="0" w:color="auto"/>
        <w:bottom w:val="none" w:sz="0" w:space="0" w:color="auto"/>
        <w:right w:val="none" w:sz="0" w:space="0" w:color="auto"/>
      </w:divBdr>
      <w:divsChild>
        <w:div w:id="692153559">
          <w:marLeft w:val="0"/>
          <w:marRight w:val="0"/>
          <w:marTop w:val="0"/>
          <w:marBottom w:val="0"/>
          <w:divBdr>
            <w:top w:val="none" w:sz="0" w:space="0" w:color="auto"/>
            <w:left w:val="none" w:sz="0" w:space="0" w:color="auto"/>
            <w:bottom w:val="none" w:sz="0" w:space="0" w:color="auto"/>
            <w:right w:val="none" w:sz="0" w:space="0" w:color="auto"/>
          </w:divBdr>
        </w:div>
      </w:divsChild>
    </w:div>
    <w:div w:id="2005624502">
      <w:bodyDiv w:val="1"/>
      <w:marLeft w:val="0"/>
      <w:marRight w:val="0"/>
      <w:marTop w:val="0"/>
      <w:marBottom w:val="0"/>
      <w:divBdr>
        <w:top w:val="none" w:sz="0" w:space="0" w:color="auto"/>
        <w:left w:val="none" w:sz="0" w:space="0" w:color="auto"/>
        <w:bottom w:val="none" w:sz="0" w:space="0" w:color="auto"/>
        <w:right w:val="none" w:sz="0" w:space="0" w:color="auto"/>
      </w:divBdr>
    </w:div>
    <w:div w:id="2037999571">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
          <w:marLeft w:val="0"/>
          <w:marRight w:val="0"/>
          <w:marTop w:val="0"/>
          <w:marBottom w:val="0"/>
          <w:divBdr>
            <w:top w:val="none" w:sz="0" w:space="0" w:color="auto"/>
            <w:left w:val="none" w:sz="0" w:space="0" w:color="auto"/>
            <w:bottom w:val="none" w:sz="0" w:space="0" w:color="auto"/>
            <w:right w:val="none" w:sz="0" w:space="0" w:color="auto"/>
          </w:divBdr>
        </w:div>
      </w:divsChild>
    </w:div>
    <w:div w:id="2138183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a.just.ro/Rapoarte+de+monitoriz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irect.e-guvernare.ro" TargetMode="External"/><Relationship Id="rId4" Type="http://schemas.openxmlformats.org/officeDocument/2006/relationships/settings" Target="settings.xml"/><Relationship Id="rId9" Type="http://schemas.openxmlformats.org/officeDocument/2006/relationships/hyperlink" Target="http://sna.just.ro/Rapoarte+de+monitorizar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enat.ro/legis/lista.aspx" TargetMode="External"/><Relationship Id="rId3" Type="http://schemas.openxmlformats.org/officeDocument/2006/relationships/hyperlink" Target="http://www.just.ro/strategii-si-politici/rapoarte/" TargetMode="External"/><Relationship Id="rId7" Type="http://schemas.openxmlformats.org/officeDocument/2006/relationships/hyperlink" Target="http://www.just.ro/proiectul-de-ordin-al-ministrului-justitiei-privind-metodologia-de-organizare-si-desfasurare-a-controlului-si-evaluarii-activitatii-sistemului-de-probatiune/" TargetMode="External"/><Relationship Id="rId2" Type="http://schemas.openxmlformats.org/officeDocument/2006/relationships/hyperlink" Target="http://www.just.ro/rapoarte-activitate-anul-2017-ong/?drawer=Rapoarte%20activitate%202017%20ONG" TargetMode="External"/><Relationship Id="rId1" Type="http://schemas.openxmlformats.org/officeDocument/2006/relationships/hyperlink" Target="https://ec.europa.eu/info/sites/info/files/progress-report-romania-2019-com-2019-499_ro.pdf" TargetMode="External"/><Relationship Id="rId6" Type="http://schemas.openxmlformats.org/officeDocument/2006/relationships/hyperlink" Target="http://cetatenie.just.ro/index.php/ro/transparenta/sna-anc-2016-2020-pagina" TargetMode="External"/><Relationship Id="rId5" Type="http://schemas.openxmlformats.org/officeDocument/2006/relationships/hyperlink" Target="https://sgg.gov.ro/new/rapoarte/" TargetMode="External"/><Relationship Id="rId4" Type="http://schemas.openxmlformats.org/officeDocument/2006/relationships/hyperlink" Target="https://sna.just.ro/Rapoarte+de+monitorizare" TargetMode="External"/><Relationship Id="rId9" Type="http://schemas.openxmlformats.org/officeDocument/2006/relationships/hyperlink" Target="http://www.cdep.ro/pls/proiecte/upl_pck2015.proiect?nr=537&amp;an=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504F-722F-4E92-B161-D80EFC41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31</Pages>
  <Words>15440</Words>
  <Characters>88010</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103244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Stefania Duta</cp:lastModifiedBy>
  <cp:revision>2</cp:revision>
  <cp:lastPrinted>2020-04-02T12:14:00Z</cp:lastPrinted>
  <dcterms:created xsi:type="dcterms:W3CDTF">2023-12-06T09:18:00Z</dcterms:created>
  <dcterms:modified xsi:type="dcterms:W3CDTF">2023-12-06T09:18:00Z</dcterms:modified>
</cp:coreProperties>
</file>